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0457-2021-QEO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浙江盛田机械有限公司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Q:18.05.04</w:t>
            </w:r>
          </w:p>
          <w:p>
            <w:pPr>
              <w:spacing w:line="240" w:lineRule="exact"/>
              <w:jc w:val="center"/>
              <w:rPr>
                <w:b/>
                <w:color w:val="000000"/>
                <w:sz w:val="20"/>
                <w:szCs w:val="20"/>
              </w:rPr>
            </w:pPr>
            <w:r>
              <w:rPr>
                <w:b/>
                <w:color w:val="000000"/>
                <w:sz w:val="20"/>
                <w:szCs w:val="20"/>
              </w:rPr>
              <w:t>E:18.05.04</w:t>
            </w:r>
          </w:p>
          <w:p>
            <w:pPr>
              <w:spacing w:line="240" w:lineRule="exact"/>
              <w:jc w:val="center"/>
              <w:rPr>
                <w:b/>
                <w:color w:val="000000"/>
                <w:sz w:val="20"/>
                <w:szCs w:val="20"/>
              </w:rPr>
            </w:pPr>
            <w:r>
              <w:rPr>
                <w:b/>
                <w:color w:val="000000"/>
                <w:sz w:val="20"/>
                <w:szCs w:val="20"/>
              </w:rPr>
              <w:t>O:18.05.04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方小娥</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Q:17.07.01,18.05.04</w:t>
            </w:r>
          </w:p>
          <w:p>
            <w:pPr>
              <w:spacing w:line="240" w:lineRule="exact"/>
              <w:jc w:val="center"/>
              <w:rPr>
                <w:b/>
                <w:color w:val="000000"/>
                <w:sz w:val="20"/>
                <w:szCs w:val="20"/>
              </w:rPr>
            </w:pPr>
            <w:r>
              <w:rPr>
                <w:b/>
                <w:color w:val="000000"/>
                <w:sz w:val="20"/>
                <w:szCs w:val="20"/>
              </w:rPr>
              <w:t>E:17.07.01,18.05.04</w:t>
            </w:r>
          </w:p>
          <w:p>
            <w:pPr>
              <w:spacing w:line="240" w:lineRule="exact"/>
              <w:jc w:val="center"/>
              <w:rPr>
                <w:b/>
                <w:color w:val="000000"/>
                <w:sz w:val="20"/>
                <w:szCs w:val="20"/>
              </w:rPr>
            </w:pPr>
            <w:r>
              <w:rPr>
                <w:b/>
                <w:color w:val="000000"/>
                <w:sz w:val="20"/>
                <w:szCs w:val="20"/>
              </w:rPr>
              <w:t>O:17.07.01,18.05.04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浙江盛田机械有限公司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浙江省台州市临海市沿江镇长甸</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317000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浙江省台州市临海市沿江镇长甸</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317000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陈辉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0576-85603368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r>
              <w:rPr>
                <w:rFonts w:ascii="宋体"/>
                <w:b/>
                <w:color w:val="000000"/>
                <w:sz w:val="20"/>
                <w:szCs w:val="20"/>
              </w:rPr>
              <w:t>0576-85603368</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陈辉</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陈其川</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eli3173@163.com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Q：缝纫机械的设计和生产</w:t>
            </w:r>
          </w:p>
          <w:p>
            <w:pPr>
              <w:spacing w:line="400" w:lineRule="exact"/>
              <w:rPr>
                <w:rFonts w:ascii="宋体" w:hAnsi="宋体"/>
                <w:b/>
                <w:color w:val="000000"/>
                <w:sz w:val="20"/>
                <w:szCs w:val="20"/>
              </w:rPr>
            </w:pPr>
            <w:r>
              <w:rPr>
                <w:rFonts w:ascii="宋体" w:hAnsi="宋体"/>
                <w:b/>
                <w:color w:val="000000"/>
                <w:sz w:val="20"/>
                <w:szCs w:val="20"/>
              </w:rPr>
              <w:t>E：缝纫机械的设计和生产所涉及场所的相关环境管理活动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O：缝纫机械的设计和生产所涉及场所的相关职业健康安全管理活动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Q：18.05.04</w:t>
            </w:r>
          </w:p>
          <w:p>
            <w:pPr>
              <w:spacing w:line="280" w:lineRule="exact"/>
              <w:rPr>
                <w:rFonts w:ascii="宋体"/>
                <w:b/>
                <w:color w:val="000000"/>
                <w:sz w:val="20"/>
                <w:szCs w:val="20"/>
              </w:rPr>
            </w:pPr>
            <w:r>
              <w:rPr>
                <w:rFonts w:ascii="宋体"/>
                <w:b/>
                <w:color w:val="000000"/>
                <w:sz w:val="20"/>
                <w:szCs w:val="20"/>
              </w:rPr>
              <w:t>E：18.05.04</w:t>
            </w:r>
          </w:p>
          <w:p>
            <w:pPr>
              <w:spacing w:line="280" w:lineRule="exact"/>
              <w:rPr>
                <w:rFonts w:ascii="宋体"/>
                <w:b/>
                <w:color w:val="000000"/>
                <w:sz w:val="20"/>
                <w:szCs w:val="20"/>
              </w:rPr>
            </w:pPr>
            <w:r>
              <w:rPr>
                <w:rFonts w:ascii="宋体"/>
                <w:b/>
                <w:color w:val="000000"/>
                <w:sz w:val="20"/>
                <w:szCs w:val="20"/>
              </w:rPr>
              <w:t>O：18.05.04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管理手册、程序文件、法规清单、重要环境因素清单、重要危险源清单等；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sym w:font="Wingdings 2" w:char="0052"/>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总经理、管理者代表、办公室、供销部、生产部办公、技质部办公等；</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Times New Roman" w:hAnsi="Times New Roman" w:eastAsia="宋体" w:cs="Times New Roman"/>
                <w:sz w:val="20"/>
              </w:rPr>
            </w:pPr>
            <w:r>
              <w:rPr>
                <w:rFonts w:hint="eastAsia" w:ascii="宋体" w:hAnsi="宋体"/>
                <w:b/>
                <w:color w:val="000000"/>
                <w:sz w:val="20"/>
                <w:szCs w:val="20"/>
              </w:rPr>
              <w:t>产品：</w:t>
            </w:r>
            <w:r>
              <w:rPr>
                <w:sz w:val="20"/>
              </w:rPr>
              <w:t>缝纫机械（烫台</w:t>
            </w:r>
            <w:r>
              <w:rPr>
                <w:rFonts w:ascii="Times New Roman" w:hAnsi="Times New Roman" w:eastAsia="宋体" w:cs="Times New Roman"/>
                <w:sz w:val="20"/>
              </w:rPr>
              <w:t>、带刀裁布机、粘合机</w:t>
            </w:r>
            <w:r>
              <w:rPr>
                <w:rFonts w:hint="eastAsia" w:ascii="Times New Roman" w:hAnsi="Times New Roman" w:eastAsia="宋体" w:cs="Times New Roman"/>
                <w:sz w:val="20"/>
                <w:lang w:eastAsia="zh-CN"/>
              </w:rPr>
              <w:t>、</w:t>
            </w:r>
            <w:r>
              <w:rPr>
                <w:rFonts w:hint="eastAsia" w:ascii="Times New Roman" w:hAnsi="Times New Roman" w:eastAsia="宋体" w:cs="Times New Roman"/>
                <w:sz w:val="20"/>
                <w:lang w:val="en-US" w:eastAsia="zh-CN"/>
              </w:rPr>
              <w:t>带刀裁剪机、吹裤机、</w:t>
            </w:r>
            <w:r>
              <w:rPr>
                <w:rFonts w:ascii="Times New Roman" w:hAnsi="Times New Roman" w:eastAsia="宋体" w:cs="Times New Roman"/>
                <w:sz w:val="20"/>
              </w:rPr>
              <w:t>）</w:t>
            </w:r>
          </w:p>
          <w:p>
            <w:pPr>
              <w:tabs>
                <w:tab w:val="left" w:pos="360"/>
              </w:tabs>
              <w:ind w:left="360" w:hanging="360"/>
              <w:rPr>
                <w:rFonts w:ascii="宋体"/>
                <w:b/>
                <w:color w:val="000000"/>
                <w:sz w:val="20"/>
                <w:szCs w:val="20"/>
              </w:rPr>
            </w:pPr>
            <w:r>
              <w:rPr>
                <w:rFonts w:hint="eastAsia" w:ascii="Times New Roman" w:hAnsi="Times New Roman" w:eastAsia="宋体" w:cs="Times New Roman"/>
                <w:sz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管理层、办公室、供销部、生产部办公、技质部、车间、仓库</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技质部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r>
              <w:rPr>
                <w:rFonts w:asciiTheme="minorEastAsia" w:hAnsiTheme="minorEastAsia" w:eastAsiaTheme="minorEastAsia"/>
                <w:sz w:val="20"/>
              </w:rPr>
              <w:t>台州市临海市沿江镇长甸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Theme="minorEastAsia" w:hAnsiTheme="minorEastAsia" w:eastAsiaTheme="minorEastAsia"/>
                <w:sz w:val="20"/>
              </w:rPr>
              <w:t>台州市临海市沿江镇长甸</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A3"/>
            </w:r>
            <w:r>
              <w:rPr>
                <w:rFonts w:hint="eastAsia" w:ascii="宋体" w:hAnsi="宋体"/>
                <w:color w:val="000000"/>
                <w:sz w:val="20"/>
                <w:szCs w:val="20"/>
              </w:rPr>
              <w:t>自建办公用房</w:t>
            </w:r>
            <w:r>
              <w:rPr>
                <w:rFonts w:hint="eastAsia" w:ascii="宋体" w:hAnsi="宋体"/>
                <w:color w:val="000000"/>
                <w:spacing w:val="-10"/>
                <w:sz w:val="20"/>
                <w:szCs w:val="20"/>
              </w:rPr>
              <w:sym w:font="Wingdings 2" w:char="0052"/>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hint="default" w:ascii="宋体" w:eastAsia="宋体"/>
                <w:color w:val="000000"/>
                <w:spacing w:val="-10"/>
                <w:sz w:val="20"/>
                <w:szCs w:val="20"/>
                <w:lang w:val="en-US" w:eastAsia="zh-CN"/>
              </w:rPr>
            </w:pPr>
            <w:r>
              <w:rPr>
                <w:rFonts w:hint="eastAsia" w:ascii="宋体"/>
                <w:color w:val="000000"/>
                <w:sz w:val="20"/>
                <w:szCs w:val="20"/>
              </w:rPr>
              <w:t>如不一致，请简述不一致情况：</w:t>
            </w:r>
            <w:r>
              <w:rPr>
                <w:rFonts w:hint="eastAsia" w:ascii="宋体"/>
                <w:color w:val="000000"/>
                <w:sz w:val="20"/>
                <w:szCs w:val="20"/>
                <w:lang w:val="en-US" w:eastAsia="zh-CN"/>
              </w:rPr>
              <w:t>经现场确认，提供认证信息变更传递单，经公司确认审批。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default" w:ascii="宋体"/>
                <w:color w:val="000000"/>
                <w:sz w:val="20"/>
                <w:szCs w:val="20"/>
                <w:lang w:val="en-US"/>
              </w:rPr>
            </w:pPr>
            <w:r>
              <w:rPr>
                <w:rFonts w:hint="eastAsia" w:ascii="宋体"/>
                <w:color w:val="000000"/>
                <w:sz w:val="20"/>
                <w:szCs w:val="20"/>
              </w:rPr>
              <w:t>环境执行标准：</w:t>
            </w:r>
            <w:r>
              <w:rPr>
                <w:rFonts w:hint="eastAsia" w:ascii="宋体" w:hAnsi="Times New Roman" w:eastAsia="宋体" w:cs="Times New Roman"/>
                <w:color w:val="000000"/>
                <w:sz w:val="20"/>
                <w:szCs w:val="20"/>
                <w:lang w:val="en-US" w:eastAsia="zh-CN"/>
              </w:rPr>
              <w:t>GB16297-1996《大气污染物综合排放标准》、GB12348－2008《工业企业厂界噪声标准》等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snapToGrid w:val="0"/>
              <w:spacing w:line="280" w:lineRule="exact"/>
              <w:jc w:val="both"/>
              <w:rPr>
                <w:rFonts w:ascii="宋体"/>
                <w:color w:val="000000"/>
                <w:sz w:val="20"/>
                <w:szCs w:val="20"/>
              </w:rPr>
            </w:pPr>
            <w:r>
              <w:rPr>
                <w:rFonts w:hint="eastAsia" w:ascii="宋体"/>
                <w:color w:val="000000"/>
                <w:sz w:val="20"/>
                <w:szCs w:val="20"/>
              </w:rPr>
              <w:t>执行标准</w:t>
            </w:r>
            <w:r>
              <w:rPr>
                <w:rFonts w:hint="eastAsia" w:ascii="宋体" w:hAnsi="Times New Roman" w:eastAsia="宋体" w:cs="Times New Roman"/>
                <w:color w:val="000000"/>
                <w:sz w:val="20"/>
                <w:szCs w:val="20"/>
              </w:rPr>
              <w:t>：</w:t>
            </w:r>
            <w:r>
              <w:rPr>
                <w:rFonts w:hint="eastAsia" w:ascii="宋体" w:hAnsi="Times New Roman" w:eastAsia="宋体" w:cs="Times New Roman"/>
                <w:color w:val="000000"/>
                <w:sz w:val="20"/>
                <w:szCs w:val="20"/>
                <w:lang w:val="en-US" w:eastAsia="zh-CN"/>
              </w:rPr>
              <w:t>GBZ 158-2003《工作场所职业病危害警示标识》、GBZ 2.1-2019《工作场所有害因素职业接触限值第1部分：化学有害因素》、GBZ 2.2-2007《工作场所有害因素职业接触限值第2部分：物理因素》等；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b/>
                <w:sz w:val="20"/>
              </w:rPr>
              <w:t>切割</w:t>
            </w:r>
            <w:r>
              <w:rPr>
                <w:rFonts w:hint="eastAsia"/>
                <w:b/>
                <w:sz w:val="20"/>
                <w:lang w:val="en-US" w:eastAsia="zh-CN"/>
              </w:rPr>
              <w:t>--钣金（卷板、液压、冲床、剪板等） --焊接--打磨--喷塑--组装--调试--包装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b/>
                <w:sz w:val="20"/>
                <w:lang w:val="en-US" w:eastAsia="zh-CN"/>
              </w:rPr>
              <w:t>钣金下料（卷板、液压、冲床、剪板）机械加工过程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机械加工作业指标书等；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b/>
                <w:sz w:val="20"/>
                <w:lang w:val="en-US" w:eastAsia="zh-CN"/>
              </w:rPr>
              <w:t>焊接过程；喷塑过程；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ascii="宋体" w:hAnsi="宋体"/>
                <w:color w:val="000000"/>
                <w:spacing w:val="-10"/>
                <w:sz w:val="20"/>
                <w:szCs w:val="20"/>
                <w:lang w:val="en-US" w:eastAsia="zh-CN"/>
              </w:rPr>
              <w:t>激光切割机、冲压机械、焊接设备、数控车床、表面打磨设备等；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叉车、压力容器（储气罐、压力表、压力阀）、升降机等；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卡尺、千分尺、测厚仪、温度仪、电压表等；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lang w:val="en-US" w:eastAsia="zh-CN"/>
              </w:rPr>
              <w:t>工作环境满足生产需求；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center" w:pos="4631"/>
              </w:tabs>
              <w:rPr>
                <w:rFonts w:hint="eastAsia" w:ascii="宋体" w:eastAsia="宋体"/>
                <w:color w:val="000000"/>
                <w:sz w:val="20"/>
                <w:szCs w:val="20"/>
                <w:lang w:eastAsia="zh-CN"/>
              </w:rPr>
            </w:pPr>
            <w:r>
              <w:rPr>
                <w:rFonts w:hint="eastAsia" w:ascii="宋体"/>
                <w:color w:val="000000"/>
                <w:sz w:val="20"/>
                <w:szCs w:val="20"/>
              </w:rPr>
              <w:t>重要环境因素有：</w:t>
            </w:r>
            <w:r>
              <w:rPr>
                <w:rFonts w:hint="eastAsia" w:ascii="宋体"/>
                <w:color w:val="000000"/>
                <w:sz w:val="20"/>
                <w:szCs w:val="20"/>
                <w:lang w:eastAsia="zh-CN"/>
              </w:rPr>
              <w:tab/>
            </w:r>
            <w:r>
              <w:rPr>
                <w:rFonts w:hint="eastAsia" w:ascii="宋体" w:hAnsi="宋体" w:eastAsia="宋体" w:cs="Times New Roman"/>
                <w:u w:val="single"/>
                <w:lang w:val="en-US" w:eastAsia="zh-CN"/>
              </w:rPr>
              <w:t>噪声排放、</w:t>
            </w:r>
            <w:r>
              <w:rPr>
                <w:rFonts w:hint="default" w:ascii="宋体" w:hAnsi="宋体" w:eastAsia="宋体" w:cs="Times New Roman"/>
                <w:u w:val="single"/>
                <w:lang w:val="en-US" w:eastAsia="zh-CN"/>
              </w:rPr>
              <w:t>固废</w:t>
            </w:r>
            <w:r>
              <w:rPr>
                <w:rFonts w:hint="eastAsia" w:ascii="宋体" w:hAnsi="宋体" w:eastAsia="宋体" w:cs="Times New Roman"/>
                <w:u w:val="single"/>
                <w:lang w:val="en-US" w:eastAsia="zh-CN"/>
              </w:rPr>
              <w:t>（废金属、废包装、废塑粉）排放、废气排放、生活污水排放</w:t>
            </w:r>
            <w:r>
              <w:rPr>
                <w:rFonts w:hint="eastAsia" w:ascii="宋体" w:hAnsi="宋体" w:eastAsia="宋体" w:cs="Times New Roman"/>
                <w:u w:val="singl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highlight w:val="none"/>
              </w:rPr>
              <w:t>应急预案有：</w:t>
            </w:r>
            <w:r>
              <w:rPr>
                <w:rFonts w:hint="eastAsia" w:ascii="宋体"/>
                <w:color w:val="000000"/>
                <w:sz w:val="20"/>
                <w:szCs w:val="20"/>
                <w:highlight w:val="none"/>
                <w:lang w:val="en-US" w:eastAsia="zh-CN"/>
              </w:rPr>
              <w:t>疫情防控、消防火灾</w:t>
            </w:r>
            <w:r>
              <w:rPr>
                <w:rFonts w:hint="eastAsia" w:ascii="宋体"/>
                <w:color w:val="000000"/>
                <w:sz w:val="20"/>
                <w:szCs w:val="20"/>
                <w:highlight w:val="yellow"/>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ascii="宋体" w:hAnsi="宋体" w:eastAsia="宋体" w:cs="Times New Roman"/>
                <w:u w:val="single"/>
                <w:lang w:val="en-US" w:eastAsia="zh-CN"/>
              </w:rPr>
              <w:t>机械伤害</w:t>
            </w:r>
            <w:r>
              <w:rPr>
                <w:rFonts w:hint="eastAsia" w:ascii="宋体" w:hAnsi="宋体" w:eastAsia="宋体" w:cs="Times New Roman"/>
                <w:u w:val="single"/>
              </w:rPr>
              <w:t>、</w:t>
            </w:r>
            <w:r>
              <w:rPr>
                <w:rFonts w:hint="eastAsia" w:ascii="宋体" w:hAnsi="宋体" w:eastAsia="宋体" w:cs="Times New Roman"/>
                <w:u w:val="single"/>
                <w:lang w:val="en-US" w:eastAsia="zh-CN"/>
              </w:rPr>
              <w:t>职业病（噪声耳聋、呼吸道损害）、触电、潜在火灾发生、烫伤、爆炸人</w:t>
            </w:r>
            <w:r>
              <w:rPr>
                <w:rFonts w:hint="eastAsia" w:ascii="宋体" w:hAnsi="宋体" w:eastAsia="宋体" w:cs="Times New Roman"/>
                <w:u w:val="single"/>
              </w:rPr>
              <w:t>员</w:t>
            </w:r>
            <w:r>
              <w:rPr>
                <w:rFonts w:hint="eastAsia" w:ascii="宋体" w:hAnsi="宋体"/>
                <w:u w:val="single"/>
              </w:rPr>
              <w:t>伤亡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s="宋体"/>
              </w:rPr>
              <w:t>危险源辨识、风险评价与控制措施制定程序</w:t>
            </w:r>
            <w:r>
              <w:rPr>
                <w:rFonts w:hint="eastAsia" w:ascii="宋体"/>
                <w:color w:val="000000"/>
                <w:sz w:val="20"/>
                <w:szCs w:val="20"/>
              </w:rPr>
              <w:t>、环境、职业健康安全运行控制程序、应急准备和响应程序等。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针对不可接受风险是否明确了监视和测量的要求：建立目标和管理方案，常规运行控制、制定应急预案等措施。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hint="default" w:ascii="宋体" w:eastAsia="宋体"/>
                <w:b/>
                <w:color w:val="000000"/>
                <w:szCs w:val="21"/>
                <w:lang w:val="en-US" w:eastAsia="zh-CN"/>
              </w:rPr>
            </w:pPr>
            <w:r>
              <w:rPr>
                <w:rFonts w:hint="eastAsia" w:ascii="宋体"/>
                <w:b/>
                <w:color w:val="000000"/>
                <w:szCs w:val="21"/>
                <w:lang w:val="en-US" w:eastAsia="zh-CN"/>
              </w:rPr>
              <w:t>独立厂房及办公楼；车间分机加工车间、组装车间、喷塑车间等；</w:t>
            </w:r>
          </w:p>
          <w:p>
            <w:pPr>
              <w:spacing w:line="260" w:lineRule="exact"/>
              <w:rPr>
                <w:rFonts w:ascii="宋体"/>
                <w:b/>
                <w:color w:val="000000"/>
                <w:szCs w:val="21"/>
              </w:rPr>
            </w:pPr>
          </w:p>
          <w:p>
            <w:pPr>
              <w:spacing w:line="260" w:lineRule="exact"/>
              <w:rPr>
                <w:rFonts w:hint="default" w:ascii="宋体" w:eastAsia="宋体"/>
                <w:b/>
                <w:color w:val="000000"/>
                <w:sz w:val="16"/>
                <w:szCs w:val="16"/>
                <w:lang w:val="en-US" w:eastAsia="zh-CN"/>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w:t>
            </w:r>
            <w:r>
              <w:rPr>
                <w:rFonts w:hint="eastAsia" w:ascii="宋体" w:hAnsi="宋体"/>
                <w:b/>
                <w:color w:val="000000"/>
                <w:sz w:val="16"/>
                <w:szCs w:val="16"/>
                <w:lang w:eastAsia="zh-CN"/>
              </w:rPr>
              <w:t>：</w:t>
            </w:r>
            <w:r>
              <w:rPr>
                <w:rFonts w:hint="eastAsia" w:ascii="宋体" w:hAnsi="宋体"/>
                <w:b/>
                <w:color w:val="000000"/>
                <w:sz w:val="16"/>
                <w:szCs w:val="16"/>
                <w:lang w:val="en-US" w:eastAsia="zh-CN"/>
              </w:rPr>
              <w:t>范围缩小。</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重点审核部门：生产部、</w:t>
            </w:r>
            <w:r>
              <w:rPr>
                <w:rFonts w:hint="eastAsia" w:ascii="宋体" w:hAnsi="宋体"/>
                <w:b/>
                <w:color w:val="000000"/>
                <w:sz w:val="20"/>
                <w:szCs w:val="20"/>
                <w:lang w:val="en-US" w:eastAsia="zh-CN"/>
              </w:rPr>
              <w:t>技</w:t>
            </w:r>
            <w:r>
              <w:rPr>
                <w:rFonts w:hint="eastAsia" w:ascii="宋体" w:hAnsi="宋体"/>
                <w:b/>
                <w:color w:val="000000"/>
                <w:sz w:val="20"/>
                <w:szCs w:val="20"/>
              </w:rPr>
              <w:t>质部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生产计划安排、生产策划</w:t>
            </w:r>
            <w:r>
              <w:rPr>
                <w:rFonts w:hint="eastAsia" w:ascii="宋体" w:hAnsi="宋体"/>
                <w:b/>
                <w:color w:val="000000"/>
                <w:sz w:val="20"/>
                <w:szCs w:val="20"/>
              </w:rPr>
              <w:t>、</w:t>
            </w:r>
            <w:r>
              <w:rPr>
                <w:rFonts w:hint="eastAsia" w:ascii="宋体" w:hAnsi="宋体"/>
                <w:b/>
                <w:color w:val="000000"/>
                <w:sz w:val="20"/>
                <w:szCs w:val="20"/>
                <w:lang w:val="en-US" w:eastAsia="zh-CN"/>
              </w:rPr>
              <w:t>设计开发、</w:t>
            </w:r>
            <w:r>
              <w:rPr>
                <w:rFonts w:hint="eastAsia" w:ascii="宋体" w:hAnsi="宋体"/>
                <w:b/>
                <w:color w:val="000000"/>
                <w:sz w:val="20"/>
                <w:szCs w:val="20"/>
              </w:rPr>
              <w:t>质量控制的检验等。</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重点审核部门：管理部</w:t>
            </w:r>
          </w:p>
          <w:p>
            <w:pPr>
              <w:spacing w:line="260" w:lineRule="exact"/>
              <w:rPr>
                <w:rFonts w:ascii="宋体"/>
                <w:b/>
                <w:color w:val="000000"/>
                <w:sz w:val="20"/>
                <w:szCs w:val="20"/>
              </w:rPr>
            </w:pPr>
            <w:r>
              <w:rPr>
                <w:rFonts w:hint="eastAsia" w:ascii="宋体" w:hAnsi="宋体"/>
                <w:b/>
                <w:color w:val="000000"/>
                <w:sz w:val="20"/>
                <w:szCs w:val="20"/>
              </w:rPr>
              <w:t>重点审核场所：管理部主控管理部门；</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重点审核部门：管理部</w:t>
            </w:r>
          </w:p>
          <w:p>
            <w:pPr>
              <w:spacing w:line="260" w:lineRule="exact"/>
              <w:rPr>
                <w:rFonts w:ascii="宋体"/>
                <w:b/>
                <w:color w:val="000000"/>
                <w:sz w:val="20"/>
                <w:szCs w:val="20"/>
              </w:rPr>
            </w:pPr>
            <w:r>
              <w:rPr>
                <w:rFonts w:hint="eastAsia" w:ascii="宋体" w:hAnsi="宋体"/>
                <w:b/>
                <w:color w:val="000000"/>
                <w:sz w:val="20"/>
                <w:szCs w:val="20"/>
              </w:rPr>
              <w:t>重点审核场所：管理部主控管理部门；</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ascii="宋体" w:hAnsi="宋体"/>
                <w:b/>
                <w:color w:val="000000"/>
                <w:sz w:val="20"/>
                <w:szCs w:val="20"/>
              </w:rPr>
              <w:t>3</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编制管理评审报告，提出三项改进建议；评审结论为基本有效充分和适宜；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可进行二阶段的审核。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范围有变化，与组织最终确定二阶段范围是：</w:t>
      </w:r>
    </w:p>
    <w:p>
      <w:pPr>
        <w:rPr>
          <w:rFonts w:hint="eastAsia" w:ascii="宋体" w:hAnsi="宋体"/>
          <w:sz w:val="24"/>
          <w:lang w:val="en-US" w:eastAsia="zh-CN"/>
        </w:rPr>
      </w:pPr>
      <w:r>
        <w:rPr>
          <w:rFonts w:hint="eastAsia" w:ascii="宋体" w:hAnsi="宋体"/>
          <w:sz w:val="24"/>
          <w:lang w:val="en-US" w:eastAsia="zh-CN"/>
        </w:rPr>
        <w:t>变更为：</w:t>
      </w:r>
    </w:p>
    <w:p>
      <w:r>
        <w:t>Q：缝纫机械的设计和生产</w:t>
      </w:r>
    </w:p>
    <w:p>
      <w:r>
        <w:t>E：缝纫机械（烫台</w:t>
      </w:r>
      <w:bookmarkStart w:id="24" w:name="_GoBack"/>
      <w:bookmarkEnd w:id="24"/>
      <w:r>
        <w:t>，带刀裁布机，粘合机）</w:t>
      </w:r>
      <w:r>
        <w:t>的设计和生产所涉及场所的相关环境管理活动</w:t>
      </w:r>
    </w:p>
    <w:p>
      <w:pPr>
        <w:snapToGrid w:val="0"/>
        <w:spacing w:line="420" w:lineRule="auto"/>
        <w:rPr>
          <w:rFonts w:hint="default" w:ascii="宋体" w:hAnsi="宋体" w:eastAsia="宋体"/>
          <w:sz w:val="24"/>
          <w:lang w:val="en-US" w:eastAsia="zh-CN"/>
        </w:rPr>
      </w:pPr>
      <w:r>
        <w:t>O：缝纫机械的设计和生产所涉及场所的相关职业健康安全管理活动</w:t>
      </w:r>
    </w:p>
    <w:p>
      <w:pPr>
        <w:numPr>
          <w:ilvl w:val="0"/>
          <w:numId w:val="1"/>
        </w:numPr>
        <w:spacing w:before="156" w:beforeLines="50" w:after="62" w:afterLines="20" w:line="360" w:lineRule="exact"/>
        <w:ind w:firstLine="261" w:firstLineChars="100"/>
        <w:rPr>
          <w:rFonts w:hint="eastAsia" w:ascii="宋体" w:hAnsi="宋体"/>
          <w:b/>
          <w:bCs/>
          <w:color w:val="000000"/>
          <w:sz w:val="26"/>
          <w:szCs w:val="26"/>
        </w:rPr>
      </w:pPr>
      <w:r>
        <w:rPr>
          <w:rFonts w:hint="eastAsia" w:ascii="宋体" w:hAnsi="宋体"/>
          <w:b/>
          <w:bCs/>
          <w:color w:val="000000"/>
          <w:sz w:val="26"/>
          <w:szCs w:val="26"/>
        </w:rPr>
        <w:t>审核组签字</w:t>
      </w:r>
    </w:p>
    <w:p>
      <w:pPr>
        <w:numPr>
          <w:ilvl w:val="0"/>
          <w:numId w:val="0"/>
        </w:numPr>
        <w:spacing w:before="156" w:beforeLines="50" w:after="62" w:afterLines="20" w:line="360" w:lineRule="exact"/>
        <w:rPr>
          <w:rFonts w:hint="eastAsia" w:ascii="宋体" w:hAnsi="宋体"/>
          <w:b/>
          <w:bCs/>
          <w:color w:val="000000"/>
          <w:sz w:val="26"/>
          <w:szCs w:val="26"/>
        </w:rPr>
      </w:pPr>
      <w:r>
        <w:rPr>
          <w:rFonts w:hint="eastAsia" w:ascii="宋体" w:hAnsi="宋体"/>
          <w:b/>
          <w:color w:val="000000"/>
        </w:rPr>
        <w:drawing>
          <wp:anchor distT="0" distB="0" distL="114300" distR="114300" simplePos="0" relativeHeight="251659264" behindDoc="1" locked="0" layoutInCell="1" allowOverlap="1">
            <wp:simplePos x="0" y="0"/>
            <wp:positionH relativeFrom="column">
              <wp:posOffset>1761490</wp:posOffset>
            </wp:positionH>
            <wp:positionV relativeFrom="paragraph">
              <wp:posOffset>135255</wp:posOffset>
            </wp:positionV>
            <wp:extent cx="652145" cy="471805"/>
            <wp:effectExtent l="0" t="0" r="3175" b="635"/>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52145" cy="471805"/>
                    </a:xfrm>
                    <a:prstGeom prst="rect">
                      <a:avLst/>
                    </a:prstGeom>
                  </pic:spPr>
                </pic:pic>
              </a:graphicData>
            </a:graphic>
          </wp:anchor>
        </w:drawing>
      </w:r>
    </w:p>
    <w:p>
      <w:pPr>
        <w:spacing w:line="240" w:lineRule="auto"/>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ascii="宋体" w:hAnsi="宋体"/>
          <w:b/>
          <w:color w:val="000000"/>
        </w:rPr>
      </w:pP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2117725</wp:posOffset>
            </wp:positionH>
            <wp:positionV relativeFrom="paragraph">
              <wp:posOffset>100330</wp:posOffset>
            </wp:positionV>
            <wp:extent cx="822960" cy="407035"/>
            <wp:effectExtent l="0" t="0" r="0" b="4445"/>
            <wp:wrapNone/>
            <wp:docPr id="5" name="图片 5" descr="王央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央央"/>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p>
    <w:p>
      <w:pPr>
        <w:spacing w:line="240" w:lineRule="auto"/>
        <w:ind w:firstLine="843" w:firstLineChars="400"/>
        <w:rPr>
          <w:rFonts w:hint="eastAsia" w:ascii="宋体" w:eastAsia="宋体"/>
          <w:b/>
          <w:color w:val="000000"/>
          <w:lang w:eastAsia="zh-CN"/>
        </w:rPr>
      </w:pPr>
      <w:r>
        <w:rPr>
          <w:rFonts w:hint="eastAsia" w:ascii="宋体" w:eastAsia="宋体"/>
          <w:b/>
          <w:color w:val="000000"/>
          <w:lang w:eastAsia="zh-CN"/>
        </w:rPr>
        <w:drawing>
          <wp:anchor distT="0" distB="0" distL="114300" distR="114300" simplePos="0" relativeHeight="251660288" behindDoc="1" locked="0" layoutInCell="1" allowOverlap="1">
            <wp:simplePos x="0" y="0"/>
            <wp:positionH relativeFrom="column">
              <wp:posOffset>3176270</wp:posOffset>
            </wp:positionH>
            <wp:positionV relativeFrom="paragraph">
              <wp:posOffset>635</wp:posOffset>
            </wp:positionV>
            <wp:extent cx="762635" cy="364490"/>
            <wp:effectExtent l="0" t="0" r="14605" b="1270"/>
            <wp:wrapNone/>
            <wp:docPr id="4" name="图片 4"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方小娥"/>
                    <pic:cNvPicPr>
                      <a:picLocks noChangeAspect="1"/>
                    </pic:cNvPicPr>
                  </pic:nvPicPr>
                  <pic:blipFill>
                    <a:blip r:embed="rId8"/>
                    <a:stretch>
                      <a:fillRect/>
                    </a:stretch>
                  </pic:blipFill>
                  <pic:spPr>
                    <a:xfrm>
                      <a:off x="0" y="0"/>
                      <a:ext cx="762635" cy="36449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r>
              <w:rPr>
                <w:rFonts w:hint="eastAsia" w:ascii="宋体" w:hAnsi="宋体"/>
                <w:sz w:val="21"/>
                <w:lang w:val="en-US" w:eastAsia="zh-CN"/>
              </w:rPr>
              <w:t>1</w:t>
            </w:r>
          </w:p>
        </w:tc>
        <w:tc>
          <w:tcPr>
            <w:tcW w:w="5681" w:type="dxa"/>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重要环境因素与实际不相关的因素，如清洗废水的排放、废盐酸、酸洗、污水处理污泥的排放等；企业工艺改造，采用喷塑工艺，无酸洗过程；</w:t>
            </w:r>
          </w:p>
        </w:tc>
        <w:tc>
          <w:tcPr>
            <w:tcW w:w="1688" w:type="dxa"/>
            <w:vAlign w:val="top"/>
          </w:tcPr>
          <w:p>
            <w:pPr>
              <w:spacing w:before="40" w:after="40"/>
              <w:rPr>
                <w:rFonts w:hint="default" w:ascii="宋体" w:hAnsi="宋体" w:eastAsia="宋体"/>
                <w:sz w:val="21"/>
                <w:lang w:val="en-US" w:eastAsia="zh-CN"/>
              </w:rPr>
            </w:pPr>
            <w:r>
              <w:rPr>
                <w:rFonts w:hint="eastAsia" w:ascii="宋体" w:hAnsi="宋体"/>
                <w:sz w:val="21"/>
                <w:lang w:val="en-US" w:eastAsia="zh-CN"/>
              </w:rPr>
              <w:t>6.1.2</w:t>
            </w:r>
          </w:p>
          <w:p>
            <w:pPr>
              <w:spacing w:before="40" w:after="40"/>
              <w:rPr>
                <w:rFonts w:hint="eastAsia" w:ascii="宋体" w:hAnsi="宋体"/>
                <w:sz w:val="21"/>
              </w:rPr>
            </w:pPr>
          </w:p>
          <w:p>
            <w:pPr>
              <w:spacing w:before="40" w:after="40"/>
              <w:rPr>
                <w:rFonts w:hint="eastAsia" w:ascii="宋体" w:hAnsi="宋体"/>
                <w:sz w:val="21"/>
              </w:rPr>
            </w:pPr>
          </w:p>
          <w:p>
            <w:pPr>
              <w:spacing w:before="40" w:after="40"/>
              <w:rPr>
                <w:rFonts w:hint="eastAsia" w:ascii="宋体" w:hAnsi="宋体" w:eastAsia="宋体" w:cs="Times New Roman"/>
                <w:kern w:val="2"/>
                <w:sz w:val="21"/>
                <w:szCs w:val="24"/>
                <w:lang w:val="en-US" w:eastAsia="zh-CN" w:bidi="ar-SA"/>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top"/>
          </w:tcPr>
          <w:p>
            <w:pPr>
              <w:spacing w:before="40" w:after="40"/>
              <w:rPr>
                <w:rFonts w:hint="eastAsia" w:ascii="宋体" w:hAnsi="宋体" w:eastAsia="宋体" w:cs="Times New Roman"/>
                <w:kern w:val="2"/>
                <w:sz w:val="21"/>
                <w:szCs w:val="24"/>
                <w:lang w:val="en-US" w:eastAsia="zh-CN" w:bidi="ar-SA"/>
              </w:rPr>
            </w:pPr>
            <w:r>
              <w:rPr>
                <w:rFonts w:hint="eastAsia" w:ascii="宋体" w:hAnsi="宋体"/>
                <w:sz w:val="21"/>
                <w:lang w:val="en-US" w:eastAsia="zh-CN"/>
              </w:rPr>
              <w:t>2</w:t>
            </w:r>
          </w:p>
        </w:tc>
        <w:tc>
          <w:tcPr>
            <w:tcW w:w="5681" w:type="dxa"/>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外来文件仅列入了与产品相关的标准及试验方法；未列入公司经营相关的文件，如《民法典》《质量法》《计量法》《标准化法》</w:t>
            </w:r>
          </w:p>
        </w:tc>
        <w:tc>
          <w:tcPr>
            <w:tcW w:w="1688" w:type="dxa"/>
            <w:vAlign w:val="top"/>
          </w:tcPr>
          <w:p>
            <w:pPr>
              <w:spacing w:before="40" w:after="40"/>
              <w:rPr>
                <w:rFonts w:hint="default" w:ascii="宋体" w:hAnsi="宋体" w:eastAsia="宋体" w:cs="Times New Roman"/>
                <w:kern w:val="2"/>
                <w:sz w:val="21"/>
                <w:szCs w:val="24"/>
                <w:lang w:val="en-US" w:eastAsia="zh-CN" w:bidi="ar-SA"/>
              </w:rPr>
            </w:pPr>
            <w:r>
              <w:rPr>
                <w:rFonts w:hint="eastAsia" w:ascii="宋体" w:hAnsi="宋体"/>
                <w:sz w:val="21"/>
                <w:lang w:val="en-US" w:eastAsia="zh-CN"/>
              </w:rPr>
              <w:t>7.5.2</w:t>
            </w: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sym w:font="Wingdings 2" w:char="0052"/>
            </w:r>
            <w:r>
              <w:rPr>
                <w:rFonts w:hint="eastAsia"/>
                <w:b/>
                <w:color w:val="000000"/>
                <w:spacing w:val="-10"/>
                <w:szCs w:val="21"/>
              </w:rPr>
              <w:t>二阶段现场审核前不需提交书面材料的整改项（第项，共项）</w:t>
            </w:r>
          </w:p>
          <w:p>
            <w:pPr>
              <w:spacing w:line="280" w:lineRule="exact"/>
              <w:rPr>
                <w:rFonts w:hint="default" w:eastAsia="宋体"/>
                <w:b/>
                <w:color w:val="000000"/>
                <w:sz w:val="22"/>
                <w:szCs w:val="22"/>
                <w:lang w:val="en-US" w:eastAsia="zh-CN"/>
              </w:rPr>
            </w:pPr>
            <w:r>
              <w:rPr>
                <w:rFonts w:hint="eastAsia"/>
                <w:b/>
                <w:color w:val="000000"/>
                <w:sz w:val="22"/>
                <w:szCs w:val="22"/>
              </w:rPr>
              <w:t>审核员：</w:t>
            </w:r>
            <w:r>
              <w:rPr>
                <w:rFonts w:hint="eastAsia"/>
                <w:b/>
                <w:color w:val="000000"/>
                <w:sz w:val="22"/>
                <w:szCs w:val="22"/>
                <w:lang w:val="en-US" w:eastAsia="zh-CN"/>
              </w:rPr>
              <w:t>林兵</w:t>
            </w:r>
          </w:p>
          <w:p>
            <w:pPr>
              <w:spacing w:line="280" w:lineRule="exact"/>
              <w:rPr>
                <w:b/>
                <w:color w:val="000000"/>
                <w:sz w:val="22"/>
                <w:szCs w:val="22"/>
              </w:rPr>
            </w:pPr>
            <w:r>
              <w:rPr>
                <w:rFonts w:hint="eastAsia"/>
                <w:b/>
                <w:color w:val="000000"/>
                <w:sz w:val="22"/>
                <w:szCs w:val="22"/>
              </w:rPr>
              <w:t xml:space="preserve">日期：   </w:t>
            </w:r>
            <w:r>
              <w:rPr>
                <w:rFonts w:hint="eastAsia"/>
                <w:b/>
                <w:color w:val="000000"/>
                <w:sz w:val="22"/>
                <w:szCs w:val="22"/>
                <w:lang w:val="en-US" w:eastAsia="zh-CN"/>
              </w:rPr>
              <w:t>2021</w:t>
            </w:r>
            <w:r>
              <w:rPr>
                <w:rFonts w:hint="eastAsia"/>
                <w:b/>
                <w:color w:val="000000"/>
                <w:sz w:val="22"/>
                <w:szCs w:val="22"/>
              </w:rPr>
              <w:t xml:space="preserve"> 年 </w:t>
            </w:r>
            <w:r>
              <w:rPr>
                <w:rFonts w:hint="eastAsia"/>
                <w:b/>
                <w:color w:val="000000"/>
                <w:sz w:val="22"/>
                <w:szCs w:val="22"/>
                <w:lang w:val="en-US" w:eastAsia="zh-CN"/>
              </w:rPr>
              <w:t>5</w:t>
            </w:r>
            <w:r>
              <w:rPr>
                <w:rFonts w:hint="eastAsia"/>
                <w:b/>
                <w:color w:val="000000"/>
                <w:sz w:val="22"/>
                <w:szCs w:val="22"/>
              </w:rPr>
              <w:t xml:space="preserve">  </w:t>
            </w:r>
            <w:r>
              <w:rPr>
                <w:rFonts w:hint="eastAsia"/>
                <w:b/>
                <w:color w:val="000000"/>
                <w:sz w:val="22"/>
                <w:szCs w:val="22"/>
                <w:lang w:val="en-US" w:eastAsia="zh-CN"/>
              </w:rPr>
              <w:t>31</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A3DDA"/>
    <w:multiLevelType w:val="singleLevel"/>
    <w:tmpl w:val="338A3DDA"/>
    <w:lvl w:ilvl="0" w:tentative="0">
      <w:start w:val="1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8C6FF4"/>
    <w:rsid w:val="0F75588B"/>
    <w:rsid w:val="186624A5"/>
    <w:rsid w:val="1AC17B9F"/>
    <w:rsid w:val="4C675CD3"/>
    <w:rsid w:val="54821414"/>
    <w:rsid w:val="5D77255F"/>
    <w:rsid w:val="5D900AFC"/>
    <w:rsid w:val="6AA90A6C"/>
    <w:rsid w:val="76D26F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2021-06-24T14:05:19Z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A6A44CC03DC248C4BF02D18A397FFD3C</vt:lpwstr>
  </property>
</Properties>
</file>