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color w:val="auto"/>
          <w:sz w:val="18"/>
          <w:szCs w:val="18"/>
        </w:rPr>
      </w:pPr>
      <w:bookmarkStart w:id="6" w:name="_GoBack"/>
      <w:r>
        <w:rPr>
          <w:rFonts w:hint="eastAsia" w:ascii="宋体" w:hAnsi="宋体"/>
          <w:b/>
          <w:color w:val="auto"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color w:val="auto"/>
          <w:sz w:val="22"/>
          <w:szCs w:val="22"/>
        </w:rPr>
      </w:pPr>
      <w:bookmarkStart w:id="0" w:name="Q勾选15"/>
      <w:r>
        <w:rPr>
          <w:rFonts w:hint="eastAsia"/>
          <w:b/>
          <w:color w:val="auto"/>
          <w:sz w:val="22"/>
          <w:szCs w:val="22"/>
        </w:rPr>
        <w:t>■</w:t>
      </w:r>
      <w:bookmarkEnd w:id="0"/>
      <w:r>
        <w:rPr>
          <w:b/>
          <w:color w:val="auto"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color w:val="auto"/>
          <w:sz w:val="22"/>
          <w:szCs w:val="22"/>
        </w:rPr>
        <w:t>□</w:t>
      </w:r>
      <w:bookmarkEnd w:id="1"/>
      <w:r>
        <w:rPr>
          <w:rFonts w:hint="eastAsia"/>
          <w:b/>
          <w:color w:val="auto"/>
          <w:sz w:val="22"/>
          <w:szCs w:val="22"/>
        </w:rPr>
        <w:t>5</w:t>
      </w:r>
      <w:r>
        <w:rPr>
          <w:b/>
          <w:color w:val="auto"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color w:val="auto"/>
          <w:sz w:val="22"/>
          <w:szCs w:val="22"/>
        </w:rPr>
        <w:t>■</w:t>
      </w:r>
      <w:bookmarkEnd w:id="2"/>
      <w:r>
        <w:rPr>
          <w:b/>
          <w:color w:val="auto"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color w:val="auto"/>
          <w:sz w:val="22"/>
          <w:szCs w:val="22"/>
        </w:rPr>
        <w:t>■</w:t>
      </w:r>
      <w:bookmarkEnd w:id="3"/>
      <w:r>
        <w:rPr>
          <w:b/>
          <w:color w:val="auto"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bookmarkStart w:id="4" w:name="组织名称"/>
            <w:r>
              <w:rPr>
                <w:b/>
                <w:color w:val="auto"/>
                <w:sz w:val="20"/>
              </w:rPr>
              <w:t>重庆吉江环保产业集团有限公司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专业小类</w:t>
            </w:r>
            <w:r>
              <w:rPr>
                <w:b/>
                <w:color w:val="auto"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0"/>
              </w:rPr>
            </w:pPr>
            <w:bookmarkStart w:id="5" w:name="专业代码"/>
            <w:r>
              <w:rPr>
                <w:b/>
                <w:color w:val="auto"/>
                <w:sz w:val="20"/>
              </w:rPr>
              <w:t>Q：39.01.00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E：39.01.00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O：39.01.00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Q：39.01.00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E：39.01.00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O：39.01.00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杨珍全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生产工艺</w:t>
            </w:r>
            <w:r>
              <w:rPr>
                <w:b/>
                <w:color w:val="auto"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客户洽谈——签订服务协议——制定项目管理方案——入场准备——现场运行管理——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定期比对检测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生产过程</w:t>
            </w:r>
            <w:r>
              <w:rPr>
                <w:b/>
                <w:color w:val="auto"/>
                <w:sz w:val="20"/>
              </w:rPr>
              <w:t>/</w:t>
            </w:r>
            <w:r>
              <w:rPr>
                <w:rFonts w:hint="eastAsia"/>
                <w:b/>
                <w:color w:val="auto"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现场运行管理控制主要是药剂添加、设备运行监控、化验分析，可能出现环境污染事故，人员出现职业伤害，如中毒、机械伤害等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化学品泄漏、固废排放、火灾等，采取控制措施和应急预案进行控制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化学品泄漏造成伤害、有害气体中毒、机械伤害、火灾等，采取控制措施和应急预案进行控制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城镇排水与污水处理服务GB/T 34173-2017、《污水综合标准》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instrText xml:space="preserve"> HYPERLINK "http://www.csres.com/detail/271931.html" \t "http://www.csres.com/_blank" </w:instrTex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GB8978-1996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fldChar w:fldCharType="end"/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、《污水综合排放标准》（GB8978-1996）、污水处理设备通用技术条件JB/T 8938-1999等标准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14"/>
                <w:szCs w:val="14"/>
              </w:rPr>
            </w:pPr>
            <w:r>
              <w:rPr>
                <w:rFonts w:hint="eastAsia"/>
                <w:b/>
                <w:color w:val="auto"/>
                <w:sz w:val="20"/>
              </w:rPr>
              <w:t>检验和试验项目及要求</w:t>
            </w:r>
            <w:r>
              <w:rPr>
                <w:b/>
                <w:color w:val="auto"/>
                <w:sz w:val="20"/>
              </w:rPr>
              <w:t>(</w:t>
            </w:r>
            <w:r>
              <w:rPr>
                <w:rFonts w:hint="eastAsia"/>
                <w:b/>
                <w:color w:val="auto"/>
                <w:sz w:val="20"/>
              </w:rPr>
              <w:t>如有型式试验要求</w:t>
            </w:r>
            <w:r>
              <w:rPr>
                <w:b/>
                <w:color w:val="auto"/>
                <w:sz w:val="20"/>
              </w:rPr>
              <w:t>,</w:t>
            </w:r>
            <w:r>
              <w:rPr>
                <w:rFonts w:hint="eastAsia"/>
                <w:b/>
                <w:color w:val="auto"/>
                <w:sz w:val="20"/>
              </w:rPr>
              <w:t>要进行说明</w:t>
            </w:r>
            <w:r>
              <w:rPr>
                <w:b/>
                <w:color w:val="auto"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环境监测委托检验，监测项目有化学需氧量、总磷、氨氮、PH值等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/>
                <w:b/>
                <w:color w:val="auto"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无</w:t>
            </w:r>
          </w:p>
        </w:tc>
      </w:tr>
    </w:tbl>
    <w:p>
      <w:pPr>
        <w:snapToGrid w:val="0"/>
        <w:rPr>
          <w:rFonts w:ascii="宋体"/>
          <w:b/>
          <w:color w:val="auto"/>
          <w:sz w:val="22"/>
          <w:szCs w:val="22"/>
        </w:rPr>
      </w:pPr>
      <w:r>
        <w:rPr>
          <w:rFonts w:hint="eastAsia" w:ascii="宋体" w:hAnsi="宋体" w:eastAsia="宋体" w:cs="Times New Roman"/>
          <w:color w:val="auto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1279525</wp:posOffset>
            </wp:positionH>
            <wp:positionV relativeFrom="paragraph">
              <wp:posOffset>635</wp:posOffset>
            </wp:positionV>
            <wp:extent cx="411480" cy="381000"/>
            <wp:effectExtent l="0" t="0" r="7620" b="0"/>
            <wp:wrapNone/>
            <wp:docPr id="1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color w:val="auto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4430395</wp:posOffset>
            </wp:positionH>
            <wp:positionV relativeFrom="paragraph">
              <wp:posOffset>40005</wp:posOffset>
            </wp:positionV>
            <wp:extent cx="411480" cy="381000"/>
            <wp:effectExtent l="0" t="0" r="7620" b="0"/>
            <wp:wrapNone/>
            <wp:docPr id="2" name="图片 3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color w:val="auto"/>
          <w:sz w:val="22"/>
          <w:szCs w:val="22"/>
        </w:rPr>
        <w:t>填表人</w:t>
      </w:r>
      <w:r>
        <w:rPr>
          <w:rFonts w:ascii="宋体"/>
          <w:b/>
          <w:color w:val="auto"/>
          <w:sz w:val="22"/>
          <w:szCs w:val="22"/>
        </w:rPr>
        <w:t>(</w:t>
      </w:r>
      <w:r>
        <w:rPr>
          <w:rFonts w:hint="eastAsia" w:ascii="宋体"/>
          <w:b/>
          <w:color w:val="auto"/>
          <w:sz w:val="22"/>
          <w:szCs w:val="22"/>
        </w:rPr>
        <w:t>专业人员</w:t>
      </w:r>
      <w:r>
        <w:rPr>
          <w:rFonts w:ascii="宋体"/>
          <w:b/>
          <w:color w:val="auto"/>
          <w:sz w:val="22"/>
          <w:szCs w:val="22"/>
        </w:rPr>
        <w:t>)</w:t>
      </w:r>
      <w:r>
        <w:rPr>
          <w:rFonts w:hint="eastAsia" w:ascii="宋体"/>
          <w:b/>
          <w:color w:val="auto"/>
          <w:sz w:val="18"/>
          <w:szCs w:val="18"/>
        </w:rPr>
        <w:t xml:space="preserve">： </w:t>
      </w:r>
      <w:r>
        <w:rPr>
          <w:rFonts w:ascii="宋体"/>
          <w:b/>
          <w:color w:val="auto"/>
          <w:sz w:val="18"/>
          <w:szCs w:val="18"/>
        </w:rPr>
        <w:t xml:space="preserve">           </w:t>
      </w:r>
      <w:r>
        <w:rPr>
          <w:rFonts w:hint="eastAsia"/>
          <w:b/>
          <w:color w:val="auto"/>
          <w:sz w:val="22"/>
          <w:szCs w:val="22"/>
        </w:rPr>
        <w:t>日期</w:t>
      </w:r>
      <w:r>
        <w:rPr>
          <w:rFonts w:hint="eastAsia"/>
          <w:b/>
          <w:color w:val="auto"/>
          <w:sz w:val="18"/>
          <w:szCs w:val="18"/>
        </w:rPr>
        <w:t>：</w:t>
      </w:r>
      <w:r>
        <w:rPr>
          <w:rFonts w:hint="eastAsia"/>
          <w:b/>
          <w:color w:val="auto"/>
          <w:sz w:val="18"/>
          <w:szCs w:val="18"/>
          <w:lang w:val="en-US" w:eastAsia="zh-CN"/>
        </w:rPr>
        <w:t>2021.5.29</w:t>
      </w:r>
      <w:r>
        <w:rPr>
          <w:rFonts w:ascii="宋体"/>
          <w:b/>
          <w:color w:val="auto"/>
          <w:sz w:val="22"/>
          <w:szCs w:val="22"/>
        </w:rPr>
        <w:t xml:space="preserve">             </w:t>
      </w:r>
      <w:r>
        <w:rPr>
          <w:rFonts w:hint="eastAsia" w:ascii="宋体"/>
          <w:b/>
          <w:color w:val="auto"/>
          <w:sz w:val="22"/>
          <w:szCs w:val="22"/>
        </w:rPr>
        <w:t>审核组长</w:t>
      </w:r>
      <w:r>
        <w:rPr>
          <w:rFonts w:hint="eastAsia" w:ascii="宋体"/>
          <w:b/>
          <w:color w:val="auto"/>
          <w:sz w:val="18"/>
          <w:szCs w:val="18"/>
        </w:rPr>
        <w:t>：</w:t>
      </w:r>
      <w:r>
        <w:rPr>
          <w:rFonts w:ascii="宋体"/>
          <w:b/>
          <w:color w:val="auto"/>
          <w:sz w:val="18"/>
          <w:szCs w:val="18"/>
        </w:rPr>
        <w:t xml:space="preserve">                </w:t>
      </w:r>
      <w:r>
        <w:rPr>
          <w:rFonts w:hint="eastAsia"/>
          <w:b/>
          <w:color w:val="auto"/>
          <w:sz w:val="22"/>
          <w:szCs w:val="22"/>
        </w:rPr>
        <w:t>日期</w:t>
      </w:r>
      <w:r>
        <w:rPr>
          <w:rFonts w:hint="eastAsia"/>
          <w:b/>
          <w:color w:val="auto"/>
          <w:sz w:val="18"/>
          <w:szCs w:val="18"/>
        </w:rPr>
        <w:t>：</w:t>
      </w:r>
      <w:r>
        <w:rPr>
          <w:rFonts w:hint="eastAsia"/>
          <w:b/>
          <w:color w:val="auto"/>
          <w:sz w:val="18"/>
          <w:szCs w:val="18"/>
          <w:lang w:val="en-US" w:eastAsia="zh-CN"/>
        </w:rPr>
        <w:t>2021.5.29</w:t>
      </w:r>
    </w:p>
    <w:p>
      <w:pPr>
        <w:snapToGrid w:val="0"/>
        <w:rPr>
          <w:rFonts w:ascii="宋体"/>
          <w:b/>
          <w:color w:val="auto"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color w:val="auto"/>
          <w:spacing w:val="-6"/>
          <w:sz w:val="20"/>
        </w:rPr>
      </w:pPr>
      <w:r>
        <w:rPr>
          <w:rFonts w:hint="eastAsia" w:ascii="宋体"/>
          <w:b/>
          <w:color w:val="auto"/>
          <w:spacing w:val="-6"/>
          <w:sz w:val="18"/>
          <w:szCs w:val="18"/>
        </w:rPr>
        <w:t>注：</w:t>
      </w:r>
      <w:r>
        <w:rPr>
          <w:rFonts w:hint="eastAsia" w:ascii="宋体"/>
          <w:b/>
          <w:color w:val="auto"/>
          <w:spacing w:val="-6"/>
          <w:sz w:val="21"/>
          <w:szCs w:val="21"/>
        </w:rPr>
        <w:t>如有其他培训内容或空格不够可另加附页</w:t>
      </w:r>
    </w:p>
    <w:bookmarkEnd w:id="6"/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836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2021-05-24T13:50:02Z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