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57216;mso-width-relative:page;mso-height-relative:page;" filled="f" o:preferrelative="t" stroked="f" coordsize="21600,21600"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重庆良多科技有限公司</w:t>
      </w:r>
      <w:bookmarkEnd w:id="0"/>
    </w:p>
    <w:p>
      <w:pPr>
        <w:snapToGrid w:val="0"/>
        <w:spacing w:afterLines="30"/>
        <w:rPr>
          <w:rFonts w:ascii="楷体" w:hAnsi="楷体" w:eastAsia="楷体"/>
          <w:b/>
          <w:color w:val="000000"/>
          <w:sz w:val="32"/>
          <w:szCs w:val="32"/>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hint="eastAsia" w:eastAsia="楷体_GB2312"/>
          <w:sz w:val="32"/>
        </w:rPr>
      </w:pPr>
    </w:p>
    <w:p>
      <w:pPr>
        <w:snapToGrid w:val="0"/>
        <w:spacing w:line="480" w:lineRule="auto"/>
        <w:ind w:left="850"/>
        <w:rPr>
          <w:rFonts w:hint="eastAsia" w:eastAsia="楷体_GB2312"/>
          <w:sz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013"/>
        <w:gridCol w:w="1100"/>
        <w:gridCol w:w="2278"/>
        <w:gridCol w:w="1137"/>
        <w:gridCol w:w="850"/>
        <w:gridCol w:w="435"/>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13" w:type="dxa"/>
            <w:vAlign w:val="center"/>
          </w:tcPr>
          <w:p>
            <w:pPr>
              <w:jc w:val="center"/>
              <w:rPr>
                <w:b/>
                <w:sz w:val="21"/>
                <w:szCs w:val="21"/>
              </w:rPr>
            </w:pPr>
            <w:r>
              <w:rPr>
                <w:rFonts w:hint="eastAsia"/>
                <w:b/>
                <w:sz w:val="21"/>
                <w:szCs w:val="21"/>
              </w:rPr>
              <w:t>职务</w:t>
            </w:r>
          </w:p>
        </w:tc>
        <w:tc>
          <w:tcPr>
            <w:tcW w:w="1100" w:type="dxa"/>
            <w:vAlign w:val="center"/>
          </w:tcPr>
          <w:p>
            <w:pPr>
              <w:jc w:val="center"/>
              <w:rPr>
                <w:b/>
                <w:sz w:val="21"/>
                <w:szCs w:val="21"/>
              </w:rPr>
            </w:pPr>
            <w:r>
              <w:rPr>
                <w:rFonts w:hint="eastAsia"/>
                <w:b/>
                <w:sz w:val="21"/>
                <w:szCs w:val="21"/>
              </w:rPr>
              <w:t>注册级别</w:t>
            </w:r>
          </w:p>
        </w:tc>
        <w:tc>
          <w:tcPr>
            <w:tcW w:w="2278" w:type="dxa"/>
            <w:vAlign w:val="center"/>
          </w:tcPr>
          <w:p>
            <w:pPr>
              <w:jc w:val="center"/>
              <w:rPr>
                <w:b/>
                <w:sz w:val="21"/>
                <w:szCs w:val="21"/>
              </w:rPr>
            </w:pPr>
            <w:r>
              <w:rPr>
                <w:rFonts w:hint="eastAsia"/>
                <w:b/>
                <w:sz w:val="21"/>
                <w:szCs w:val="21"/>
              </w:rPr>
              <w:t>审核员注册号</w:t>
            </w:r>
          </w:p>
        </w:tc>
        <w:tc>
          <w:tcPr>
            <w:tcW w:w="2422" w:type="dxa"/>
            <w:gridSpan w:val="3"/>
            <w:vAlign w:val="center"/>
          </w:tcPr>
          <w:p>
            <w:pPr>
              <w:jc w:val="center"/>
              <w:rPr>
                <w:b/>
                <w:sz w:val="21"/>
                <w:szCs w:val="21"/>
              </w:rPr>
            </w:pPr>
            <w:r>
              <w:rPr>
                <w:rFonts w:hint="eastAsia"/>
                <w:b/>
                <w:sz w:val="21"/>
                <w:szCs w:val="21"/>
              </w:rPr>
              <w:t>专业代码</w:t>
            </w:r>
          </w:p>
        </w:tc>
        <w:tc>
          <w:tcPr>
            <w:tcW w:w="1179"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18"/>
                <w:szCs w:val="18"/>
              </w:rPr>
            </w:pPr>
            <w:r>
              <w:rPr>
                <w:b/>
                <w:sz w:val="18"/>
                <w:szCs w:val="18"/>
              </w:rPr>
              <w:t>男</w:t>
            </w:r>
          </w:p>
        </w:tc>
        <w:tc>
          <w:tcPr>
            <w:tcW w:w="1013" w:type="dxa"/>
            <w:vAlign w:val="center"/>
          </w:tcPr>
          <w:p>
            <w:pPr>
              <w:jc w:val="center"/>
              <w:rPr>
                <w:b/>
                <w:sz w:val="18"/>
                <w:szCs w:val="18"/>
              </w:rPr>
            </w:pPr>
            <w:r>
              <w:rPr>
                <w:b/>
                <w:sz w:val="18"/>
                <w:szCs w:val="18"/>
              </w:rPr>
              <w:t>组长</w:t>
            </w:r>
          </w:p>
        </w:tc>
        <w:tc>
          <w:tcPr>
            <w:tcW w:w="1100" w:type="dxa"/>
            <w:vAlign w:val="center"/>
          </w:tcPr>
          <w:p>
            <w:pPr>
              <w:jc w:val="center"/>
              <w:rPr>
                <w:b/>
                <w:sz w:val="18"/>
                <w:szCs w:val="18"/>
              </w:rPr>
            </w:pPr>
            <w:r>
              <w:rPr>
                <w:b/>
                <w:sz w:val="18"/>
                <w:szCs w:val="18"/>
              </w:rPr>
              <w:t>Q:审核员</w:t>
            </w:r>
          </w:p>
          <w:p>
            <w:pPr>
              <w:jc w:val="center"/>
              <w:rPr>
                <w:b/>
                <w:sz w:val="18"/>
                <w:szCs w:val="18"/>
              </w:rPr>
            </w:pPr>
            <w:r>
              <w:rPr>
                <w:b/>
                <w:sz w:val="18"/>
                <w:szCs w:val="18"/>
              </w:rPr>
              <w:t>O:审核员</w:t>
            </w:r>
          </w:p>
          <w:p>
            <w:pPr>
              <w:jc w:val="center"/>
              <w:rPr>
                <w:b/>
                <w:sz w:val="18"/>
                <w:szCs w:val="18"/>
              </w:rPr>
            </w:pPr>
            <w:r>
              <w:rPr>
                <w:b/>
                <w:sz w:val="18"/>
                <w:szCs w:val="18"/>
              </w:rPr>
              <w:t>E:审核员</w:t>
            </w:r>
          </w:p>
        </w:tc>
        <w:tc>
          <w:tcPr>
            <w:tcW w:w="2278" w:type="dxa"/>
            <w:vAlign w:val="center"/>
          </w:tcPr>
          <w:p>
            <w:pPr>
              <w:jc w:val="center"/>
              <w:rPr>
                <w:b/>
                <w:sz w:val="18"/>
                <w:szCs w:val="18"/>
              </w:rPr>
            </w:pPr>
            <w:r>
              <w:rPr>
                <w:b/>
                <w:sz w:val="18"/>
                <w:szCs w:val="18"/>
              </w:rPr>
              <w:t>2019-N1QMS-3093566</w:t>
            </w:r>
          </w:p>
          <w:p>
            <w:pPr>
              <w:jc w:val="center"/>
              <w:rPr>
                <w:b/>
                <w:sz w:val="18"/>
                <w:szCs w:val="18"/>
              </w:rPr>
            </w:pPr>
            <w:r>
              <w:rPr>
                <w:b/>
                <w:sz w:val="18"/>
                <w:szCs w:val="18"/>
              </w:rPr>
              <w:t>2019-N1OHSMS-2093566</w:t>
            </w:r>
          </w:p>
          <w:p>
            <w:pPr>
              <w:jc w:val="center"/>
              <w:rPr>
                <w:b/>
                <w:sz w:val="18"/>
                <w:szCs w:val="18"/>
              </w:rPr>
            </w:pPr>
            <w:r>
              <w:rPr>
                <w:b/>
                <w:sz w:val="18"/>
                <w:szCs w:val="18"/>
              </w:rPr>
              <w:t>2018-N1EMS-2093566</w:t>
            </w:r>
          </w:p>
        </w:tc>
        <w:tc>
          <w:tcPr>
            <w:tcW w:w="2422" w:type="dxa"/>
            <w:gridSpan w:val="3"/>
            <w:vAlign w:val="center"/>
          </w:tcPr>
          <w:p>
            <w:pPr>
              <w:jc w:val="center"/>
              <w:rPr>
                <w:b/>
                <w:sz w:val="18"/>
                <w:szCs w:val="18"/>
              </w:rPr>
            </w:pPr>
            <w:r>
              <w:rPr>
                <w:b/>
                <w:sz w:val="18"/>
                <w:szCs w:val="18"/>
              </w:rPr>
              <w:t>Q:29.10.07,31.04.01,39.02.01</w:t>
            </w:r>
          </w:p>
          <w:p>
            <w:pPr>
              <w:jc w:val="center"/>
              <w:rPr>
                <w:b/>
                <w:sz w:val="18"/>
                <w:szCs w:val="18"/>
              </w:rPr>
            </w:pPr>
            <w:r>
              <w:rPr>
                <w:b/>
                <w:sz w:val="18"/>
                <w:szCs w:val="18"/>
              </w:rPr>
              <w:t>O:29.10.07,31.04.01,39.02.01</w:t>
            </w:r>
          </w:p>
          <w:p>
            <w:pPr>
              <w:jc w:val="center"/>
              <w:rPr>
                <w:b/>
                <w:sz w:val="18"/>
                <w:szCs w:val="18"/>
              </w:rPr>
            </w:pPr>
            <w:r>
              <w:rPr>
                <w:b/>
                <w:sz w:val="18"/>
                <w:szCs w:val="18"/>
              </w:rPr>
              <w:t>E:29.10.07,31.04.01,39.02.01</w:t>
            </w:r>
          </w:p>
        </w:tc>
        <w:tc>
          <w:tcPr>
            <w:tcW w:w="1179" w:type="dxa"/>
            <w:vAlign w:val="center"/>
          </w:tcPr>
          <w:p>
            <w:pPr>
              <w:jc w:val="center"/>
              <w:rPr>
                <w:b/>
                <w:sz w:val="18"/>
                <w:szCs w:val="18"/>
              </w:rPr>
            </w:pPr>
            <w:r>
              <w:rPr>
                <w:b/>
                <w:sz w:val="18"/>
                <w:szCs w:val="18"/>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18"/>
                <w:szCs w:val="18"/>
              </w:rPr>
            </w:pPr>
            <w:r>
              <w:rPr>
                <w:b/>
                <w:sz w:val="18"/>
                <w:szCs w:val="18"/>
              </w:rPr>
              <w:t>女</w:t>
            </w:r>
          </w:p>
        </w:tc>
        <w:tc>
          <w:tcPr>
            <w:tcW w:w="1013" w:type="dxa"/>
            <w:vAlign w:val="center"/>
          </w:tcPr>
          <w:p>
            <w:pPr>
              <w:jc w:val="center"/>
              <w:rPr>
                <w:b/>
                <w:sz w:val="18"/>
                <w:szCs w:val="18"/>
              </w:rPr>
            </w:pPr>
            <w:r>
              <w:rPr>
                <w:b/>
                <w:sz w:val="18"/>
                <w:szCs w:val="18"/>
              </w:rPr>
              <w:t>组员</w:t>
            </w:r>
          </w:p>
        </w:tc>
        <w:tc>
          <w:tcPr>
            <w:tcW w:w="1100" w:type="dxa"/>
            <w:vAlign w:val="center"/>
          </w:tcPr>
          <w:p>
            <w:pPr>
              <w:jc w:val="center"/>
              <w:rPr>
                <w:b/>
                <w:sz w:val="18"/>
                <w:szCs w:val="18"/>
              </w:rPr>
            </w:pPr>
            <w:r>
              <w:rPr>
                <w:b/>
                <w:sz w:val="18"/>
                <w:szCs w:val="18"/>
              </w:rPr>
              <w:t>Q:审核员</w:t>
            </w:r>
          </w:p>
        </w:tc>
        <w:tc>
          <w:tcPr>
            <w:tcW w:w="2278" w:type="dxa"/>
            <w:vAlign w:val="center"/>
          </w:tcPr>
          <w:p>
            <w:pPr>
              <w:jc w:val="center"/>
              <w:rPr>
                <w:b/>
                <w:sz w:val="18"/>
                <w:szCs w:val="18"/>
              </w:rPr>
            </w:pPr>
            <w:r>
              <w:rPr>
                <w:b/>
                <w:sz w:val="18"/>
                <w:szCs w:val="18"/>
              </w:rPr>
              <w:t>2018-N1QMS-2207381</w:t>
            </w:r>
          </w:p>
        </w:tc>
        <w:tc>
          <w:tcPr>
            <w:tcW w:w="2422" w:type="dxa"/>
            <w:gridSpan w:val="3"/>
            <w:vAlign w:val="center"/>
          </w:tcPr>
          <w:p>
            <w:pPr>
              <w:jc w:val="center"/>
              <w:rPr>
                <w:b/>
                <w:sz w:val="18"/>
                <w:szCs w:val="18"/>
              </w:rPr>
            </w:pPr>
            <w:r>
              <w:rPr>
                <w:b/>
                <w:sz w:val="18"/>
                <w:szCs w:val="18"/>
              </w:rPr>
              <w:t>Q:29.10.07</w:t>
            </w:r>
          </w:p>
        </w:tc>
        <w:tc>
          <w:tcPr>
            <w:tcW w:w="1179" w:type="dxa"/>
            <w:vAlign w:val="center"/>
          </w:tcPr>
          <w:p>
            <w:pPr>
              <w:jc w:val="center"/>
              <w:rPr>
                <w:b/>
                <w:sz w:val="18"/>
                <w:szCs w:val="18"/>
              </w:rPr>
            </w:pPr>
            <w:r>
              <w:rPr>
                <w:b/>
                <w:sz w:val="18"/>
                <w:szCs w:val="18"/>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18"/>
                <w:szCs w:val="18"/>
              </w:rPr>
            </w:pPr>
            <w:r>
              <w:rPr>
                <w:b/>
                <w:sz w:val="18"/>
                <w:szCs w:val="18"/>
              </w:rPr>
              <w:t>女</w:t>
            </w:r>
          </w:p>
        </w:tc>
        <w:tc>
          <w:tcPr>
            <w:tcW w:w="1013" w:type="dxa"/>
            <w:vAlign w:val="center"/>
          </w:tcPr>
          <w:p>
            <w:pPr>
              <w:jc w:val="center"/>
              <w:rPr>
                <w:b/>
                <w:sz w:val="18"/>
                <w:szCs w:val="18"/>
              </w:rPr>
            </w:pPr>
            <w:r>
              <w:rPr>
                <w:b/>
                <w:sz w:val="18"/>
                <w:szCs w:val="18"/>
              </w:rPr>
              <w:t>组员</w:t>
            </w:r>
          </w:p>
        </w:tc>
        <w:tc>
          <w:tcPr>
            <w:tcW w:w="1100" w:type="dxa"/>
            <w:vAlign w:val="center"/>
          </w:tcPr>
          <w:p>
            <w:pPr>
              <w:jc w:val="center"/>
              <w:rPr>
                <w:b/>
                <w:sz w:val="18"/>
                <w:szCs w:val="18"/>
              </w:rPr>
            </w:pPr>
            <w:r>
              <w:rPr>
                <w:b/>
                <w:sz w:val="18"/>
                <w:szCs w:val="18"/>
              </w:rPr>
              <w:t>Q:审核员</w:t>
            </w:r>
          </w:p>
          <w:p>
            <w:pPr>
              <w:jc w:val="center"/>
              <w:rPr>
                <w:b/>
                <w:sz w:val="18"/>
                <w:szCs w:val="18"/>
              </w:rPr>
            </w:pPr>
            <w:r>
              <w:rPr>
                <w:b/>
                <w:sz w:val="18"/>
                <w:szCs w:val="18"/>
              </w:rPr>
              <w:t>E:审核员</w:t>
            </w:r>
          </w:p>
        </w:tc>
        <w:tc>
          <w:tcPr>
            <w:tcW w:w="2278" w:type="dxa"/>
            <w:vAlign w:val="center"/>
          </w:tcPr>
          <w:p>
            <w:pPr>
              <w:jc w:val="center"/>
              <w:rPr>
                <w:b/>
                <w:sz w:val="18"/>
                <w:szCs w:val="18"/>
              </w:rPr>
            </w:pPr>
            <w:r>
              <w:rPr>
                <w:b/>
                <w:sz w:val="18"/>
                <w:szCs w:val="18"/>
              </w:rPr>
              <w:t>2020-N1QMS-1267598</w:t>
            </w:r>
          </w:p>
          <w:p>
            <w:pPr>
              <w:jc w:val="center"/>
              <w:rPr>
                <w:b/>
                <w:sz w:val="18"/>
                <w:szCs w:val="18"/>
              </w:rPr>
            </w:pPr>
            <w:r>
              <w:rPr>
                <w:b/>
                <w:sz w:val="18"/>
                <w:szCs w:val="18"/>
              </w:rPr>
              <w:t>2020-N1EMS-1267598</w:t>
            </w:r>
          </w:p>
        </w:tc>
        <w:tc>
          <w:tcPr>
            <w:tcW w:w="2422" w:type="dxa"/>
            <w:gridSpan w:val="3"/>
            <w:vAlign w:val="center"/>
          </w:tcPr>
          <w:p>
            <w:pPr>
              <w:jc w:val="center"/>
              <w:rPr>
                <w:b/>
                <w:sz w:val="18"/>
                <w:szCs w:val="18"/>
              </w:rPr>
            </w:pPr>
          </w:p>
        </w:tc>
        <w:tc>
          <w:tcPr>
            <w:tcW w:w="1179" w:type="dxa"/>
            <w:vAlign w:val="center"/>
          </w:tcPr>
          <w:p>
            <w:pPr>
              <w:jc w:val="center"/>
              <w:rPr>
                <w:b/>
                <w:sz w:val="18"/>
                <w:szCs w:val="18"/>
              </w:rPr>
            </w:pPr>
            <w:r>
              <w:rPr>
                <w:b/>
                <w:sz w:val="18"/>
                <w:szCs w:val="18"/>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18"/>
                <w:szCs w:val="18"/>
              </w:rPr>
            </w:pPr>
            <w:r>
              <w:rPr>
                <w:b/>
                <w:sz w:val="18"/>
                <w:szCs w:val="18"/>
              </w:rPr>
              <w:t>男</w:t>
            </w:r>
          </w:p>
        </w:tc>
        <w:tc>
          <w:tcPr>
            <w:tcW w:w="1013" w:type="dxa"/>
            <w:vAlign w:val="center"/>
          </w:tcPr>
          <w:p>
            <w:pPr>
              <w:jc w:val="center"/>
              <w:rPr>
                <w:b/>
                <w:sz w:val="18"/>
                <w:szCs w:val="18"/>
              </w:rPr>
            </w:pPr>
            <w:r>
              <w:rPr>
                <w:b/>
                <w:sz w:val="18"/>
                <w:szCs w:val="18"/>
              </w:rPr>
              <w:t>组员</w:t>
            </w:r>
          </w:p>
        </w:tc>
        <w:tc>
          <w:tcPr>
            <w:tcW w:w="1100" w:type="dxa"/>
            <w:vAlign w:val="center"/>
          </w:tcPr>
          <w:p>
            <w:pPr>
              <w:jc w:val="center"/>
              <w:rPr>
                <w:b/>
                <w:sz w:val="18"/>
                <w:szCs w:val="18"/>
              </w:rPr>
            </w:pPr>
            <w:r>
              <w:rPr>
                <w:b/>
                <w:sz w:val="18"/>
                <w:szCs w:val="18"/>
              </w:rPr>
              <w:t>Q:审核员</w:t>
            </w:r>
          </w:p>
          <w:p>
            <w:pPr>
              <w:jc w:val="center"/>
              <w:rPr>
                <w:b/>
                <w:sz w:val="18"/>
                <w:szCs w:val="18"/>
              </w:rPr>
            </w:pPr>
            <w:r>
              <w:rPr>
                <w:b/>
                <w:sz w:val="18"/>
                <w:szCs w:val="18"/>
              </w:rPr>
              <w:t>O:审核员</w:t>
            </w:r>
          </w:p>
          <w:p>
            <w:pPr>
              <w:jc w:val="center"/>
              <w:rPr>
                <w:b/>
                <w:sz w:val="18"/>
                <w:szCs w:val="18"/>
              </w:rPr>
            </w:pPr>
            <w:r>
              <w:rPr>
                <w:b/>
                <w:sz w:val="18"/>
                <w:szCs w:val="18"/>
              </w:rPr>
              <w:t>E:审核员</w:t>
            </w:r>
          </w:p>
        </w:tc>
        <w:tc>
          <w:tcPr>
            <w:tcW w:w="2278" w:type="dxa"/>
            <w:vAlign w:val="center"/>
          </w:tcPr>
          <w:p>
            <w:pPr>
              <w:jc w:val="center"/>
              <w:rPr>
                <w:b/>
                <w:sz w:val="18"/>
                <w:szCs w:val="18"/>
              </w:rPr>
            </w:pPr>
            <w:r>
              <w:rPr>
                <w:b/>
                <w:sz w:val="18"/>
                <w:szCs w:val="18"/>
              </w:rPr>
              <w:t>2018-N1QMS-1230067</w:t>
            </w:r>
          </w:p>
          <w:p>
            <w:pPr>
              <w:jc w:val="center"/>
              <w:rPr>
                <w:b/>
                <w:sz w:val="18"/>
                <w:szCs w:val="18"/>
              </w:rPr>
            </w:pPr>
            <w:r>
              <w:rPr>
                <w:b/>
                <w:sz w:val="18"/>
                <w:szCs w:val="18"/>
              </w:rPr>
              <w:t>2018-N1OHSMS-1230067</w:t>
            </w:r>
          </w:p>
          <w:p>
            <w:pPr>
              <w:jc w:val="center"/>
              <w:rPr>
                <w:b/>
                <w:sz w:val="18"/>
                <w:szCs w:val="18"/>
              </w:rPr>
            </w:pPr>
            <w:r>
              <w:rPr>
                <w:b/>
                <w:sz w:val="18"/>
                <w:szCs w:val="18"/>
              </w:rPr>
              <w:t>2018-N1EMS-1230067</w:t>
            </w:r>
          </w:p>
        </w:tc>
        <w:tc>
          <w:tcPr>
            <w:tcW w:w="2422" w:type="dxa"/>
            <w:gridSpan w:val="3"/>
            <w:vAlign w:val="center"/>
          </w:tcPr>
          <w:p>
            <w:pPr>
              <w:jc w:val="center"/>
              <w:rPr>
                <w:b/>
                <w:sz w:val="18"/>
                <w:szCs w:val="18"/>
              </w:rPr>
            </w:pPr>
            <w:r>
              <w:rPr>
                <w:b/>
                <w:sz w:val="18"/>
                <w:szCs w:val="18"/>
              </w:rPr>
              <w:t>Q:29.10.07,31.04.01</w:t>
            </w:r>
          </w:p>
          <w:p>
            <w:pPr>
              <w:jc w:val="center"/>
              <w:rPr>
                <w:b/>
                <w:sz w:val="18"/>
                <w:szCs w:val="18"/>
              </w:rPr>
            </w:pPr>
            <w:r>
              <w:rPr>
                <w:b/>
                <w:sz w:val="18"/>
                <w:szCs w:val="18"/>
              </w:rPr>
              <w:t>O:29.10.07,31.04.01</w:t>
            </w:r>
          </w:p>
          <w:p>
            <w:pPr>
              <w:jc w:val="center"/>
              <w:rPr>
                <w:b/>
                <w:sz w:val="18"/>
                <w:szCs w:val="18"/>
              </w:rPr>
            </w:pPr>
            <w:r>
              <w:rPr>
                <w:b/>
                <w:sz w:val="18"/>
                <w:szCs w:val="18"/>
              </w:rPr>
              <w:t>E:29.10.07,31.04.01</w:t>
            </w:r>
          </w:p>
        </w:tc>
        <w:tc>
          <w:tcPr>
            <w:tcW w:w="1179" w:type="dxa"/>
            <w:vAlign w:val="center"/>
          </w:tcPr>
          <w:p>
            <w:pPr>
              <w:jc w:val="center"/>
              <w:rPr>
                <w:b/>
                <w:sz w:val="18"/>
                <w:szCs w:val="18"/>
              </w:rPr>
            </w:pPr>
            <w:r>
              <w:rPr>
                <w:b/>
                <w:sz w:val="18"/>
                <w:szCs w:val="18"/>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013" w:type="dxa"/>
          </w:tcPr>
          <w:p>
            <w:pPr>
              <w:rPr>
                <w:b/>
                <w:sz w:val="21"/>
                <w:szCs w:val="21"/>
              </w:rPr>
            </w:pPr>
          </w:p>
        </w:tc>
        <w:tc>
          <w:tcPr>
            <w:tcW w:w="1100" w:type="dxa"/>
          </w:tcPr>
          <w:p>
            <w:pPr>
              <w:rPr>
                <w:b/>
                <w:sz w:val="21"/>
                <w:szCs w:val="21"/>
              </w:rPr>
            </w:pPr>
          </w:p>
        </w:tc>
        <w:tc>
          <w:tcPr>
            <w:tcW w:w="2278" w:type="dxa"/>
          </w:tcPr>
          <w:p>
            <w:pPr>
              <w:rPr>
                <w:b/>
                <w:sz w:val="21"/>
                <w:szCs w:val="21"/>
              </w:rPr>
            </w:pPr>
          </w:p>
        </w:tc>
        <w:tc>
          <w:tcPr>
            <w:tcW w:w="2422" w:type="dxa"/>
            <w:gridSpan w:val="3"/>
          </w:tcPr>
          <w:p>
            <w:pPr>
              <w:rPr>
                <w:b/>
                <w:sz w:val="21"/>
                <w:szCs w:val="21"/>
              </w:rPr>
            </w:pPr>
          </w:p>
        </w:tc>
        <w:tc>
          <w:tcPr>
            <w:tcW w:w="1179"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13" w:type="dxa"/>
            <w:vAlign w:val="center"/>
          </w:tcPr>
          <w:p>
            <w:pPr>
              <w:jc w:val="center"/>
              <w:rPr>
                <w:b/>
                <w:sz w:val="21"/>
                <w:szCs w:val="21"/>
              </w:rPr>
            </w:pPr>
            <w:r>
              <w:rPr>
                <w:rFonts w:hint="eastAsia"/>
                <w:b/>
                <w:sz w:val="21"/>
                <w:szCs w:val="21"/>
              </w:rPr>
              <w:t>角色</w:t>
            </w:r>
          </w:p>
        </w:tc>
        <w:tc>
          <w:tcPr>
            <w:tcW w:w="6979"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013" w:type="dxa"/>
            <w:vAlign w:val="center"/>
          </w:tcPr>
          <w:p>
            <w:pPr>
              <w:jc w:val="center"/>
              <w:rPr>
                <w:b/>
                <w:sz w:val="21"/>
                <w:szCs w:val="21"/>
              </w:rPr>
            </w:pPr>
          </w:p>
        </w:tc>
        <w:tc>
          <w:tcPr>
            <w:tcW w:w="6979"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013" w:type="dxa"/>
            <w:vAlign w:val="center"/>
          </w:tcPr>
          <w:p>
            <w:pPr>
              <w:jc w:val="center"/>
              <w:rPr>
                <w:b/>
              </w:rPr>
            </w:pPr>
          </w:p>
        </w:tc>
        <w:tc>
          <w:tcPr>
            <w:tcW w:w="6979"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013" w:type="dxa"/>
            <w:vAlign w:val="center"/>
          </w:tcPr>
          <w:p>
            <w:pPr>
              <w:jc w:val="center"/>
              <w:rPr>
                <w:b/>
              </w:rPr>
            </w:pPr>
          </w:p>
        </w:tc>
        <w:tc>
          <w:tcPr>
            <w:tcW w:w="6979"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b/>
          <w:sz w:val="21"/>
          <w:szCs w:val="21"/>
          <w:u w:val="single"/>
        </w:rPr>
      </w:pPr>
      <w:r>
        <w:rPr>
          <w:rFonts w:hint="eastAsia" w:ascii="宋体" w:hAnsi="宋体" w:eastAsia="宋体" w:cs="宋体"/>
          <w:b/>
          <w:sz w:val="21"/>
          <w:szCs w:val="21"/>
        </w:rPr>
        <w:t>■</w:t>
      </w:r>
      <w:r>
        <w:rPr>
          <w:rFonts w:hint="eastAsia"/>
          <w:b/>
          <w:sz w:val="21"/>
          <w:szCs w:val="21"/>
        </w:rPr>
        <w:t>保持认证注册资格：__</w:t>
      </w:r>
      <w:bookmarkStart w:id="5" w:name="审核类型"/>
      <w:r>
        <w:rPr>
          <w:rFonts w:hint="eastAsia" w:ascii="宋体" w:hAnsi="宋体"/>
          <w:b/>
          <w:bCs/>
          <w:sz w:val="20"/>
          <w:u w:val="single"/>
        </w:rPr>
        <w:t>Q:监查1,O:监查1,E:监查1</w:t>
      </w:r>
      <w:bookmarkEnd w:id="5"/>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329"/>
        <w:gridCol w:w="780"/>
        <w:gridCol w:w="64"/>
        <w:gridCol w:w="1545"/>
        <w:gridCol w:w="9"/>
        <w:gridCol w:w="335"/>
        <w:gridCol w:w="1064"/>
        <w:gridCol w:w="27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color w:val="auto"/>
                <w:sz w:val="16"/>
                <w:szCs w:val="16"/>
              </w:rPr>
            </w:pPr>
            <w:r>
              <w:rPr>
                <w:rFonts w:hint="eastAsia" w:ascii="宋体" w:hAnsi="宋体"/>
                <w:b/>
                <w:color w:val="auto"/>
                <w:sz w:val="21"/>
              </w:rPr>
              <w:t>受审核方名称</w:t>
            </w:r>
          </w:p>
        </w:tc>
        <w:tc>
          <w:tcPr>
            <w:tcW w:w="4416" w:type="dxa"/>
            <w:gridSpan w:val="6"/>
          </w:tcPr>
          <w:p>
            <w:pPr>
              <w:spacing w:line="260" w:lineRule="exact"/>
              <w:rPr>
                <w:rFonts w:ascii="宋体"/>
                <w:b/>
                <w:color w:val="auto"/>
                <w:sz w:val="21"/>
              </w:rPr>
            </w:pPr>
            <w:bookmarkStart w:id="10" w:name="组织名称Add"/>
            <w:r>
              <w:rPr>
                <w:rFonts w:ascii="宋体"/>
                <w:b/>
                <w:color w:val="auto"/>
                <w:sz w:val="21"/>
              </w:rPr>
              <w:t>重庆良多科技有限公司</w:t>
            </w:r>
            <w:bookmarkEnd w:id="10"/>
          </w:p>
        </w:tc>
        <w:tc>
          <w:tcPr>
            <w:tcW w:w="1672" w:type="dxa"/>
            <w:gridSpan w:val="3"/>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6"/>
          </w:tcPr>
          <w:p>
            <w:pPr>
              <w:rPr>
                <w:rFonts w:ascii="宋体"/>
                <w:b/>
                <w:sz w:val="21"/>
              </w:rPr>
            </w:pPr>
            <w:bookmarkStart w:id="11" w:name="注册地址"/>
            <w:r>
              <w:rPr>
                <w:rFonts w:ascii="宋体"/>
                <w:b/>
                <w:sz w:val="21"/>
              </w:rPr>
              <w:t>重庆市璧山区青杠街道龙青支二路11号3-1</w:t>
            </w:r>
            <w:bookmarkEnd w:id="11"/>
          </w:p>
        </w:tc>
        <w:tc>
          <w:tcPr>
            <w:tcW w:w="1672" w:type="dxa"/>
            <w:gridSpan w:val="3"/>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400026</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6"/>
          </w:tcPr>
          <w:p>
            <w:pPr>
              <w:rPr>
                <w:rFonts w:ascii="宋体"/>
                <w:b/>
                <w:sz w:val="21"/>
              </w:rPr>
            </w:pPr>
            <w:r>
              <w:rPr>
                <w:rFonts w:ascii="宋体"/>
                <w:b/>
                <w:sz w:val="21"/>
              </w:rPr>
              <w:t>重庆市大渡口区杨渡路513号3-2</w:t>
            </w:r>
          </w:p>
        </w:tc>
        <w:tc>
          <w:tcPr>
            <w:tcW w:w="1672" w:type="dxa"/>
            <w:gridSpan w:val="3"/>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400026</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6"/>
          </w:tcPr>
          <w:p>
            <w:pPr>
              <w:rPr>
                <w:rFonts w:ascii="宋体"/>
                <w:b/>
                <w:sz w:val="21"/>
              </w:rPr>
            </w:pPr>
            <w:bookmarkStart w:id="14" w:name="生产地址Add"/>
            <w:r>
              <w:rPr>
                <w:rFonts w:ascii="宋体"/>
                <w:b/>
                <w:sz w:val="21"/>
              </w:rPr>
              <w:t>重庆市大渡口区杨渡路513号3-2</w:t>
            </w:r>
            <w:bookmarkEnd w:id="14"/>
          </w:p>
        </w:tc>
        <w:tc>
          <w:tcPr>
            <w:tcW w:w="1672" w:type="dxa"/>
            <w:gridSpan w:val="3"/>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400026</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邓久俊</w:t>
            </w:r>
            <w:bookmarkEnd w:id="16"/>
          </w:p>
        </w:tc>
        <w:tc>
          <w:tcPr>
            <w:tcW w:w="1109" w:type="dxa"/>
            <w:gridSpan w:val="2"/>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3"/>
            <w:vAlign w:val="center"/>
          </w:tcPr>
          <w:p>
            <w:pPr>
              <w:jc w:val="center"/>
              <w:rPr>
                <w:rFonts w:ascii="宋体"/>
                <w:b/>
                <w:sz w:val="21"/>
              </w:rPr>
            </w:pPr>
            <w:bookmarkStart w:id="17" w:name="联系人电话Add"/>
            <w:r>
              <w:rPr>
                <w:rFonts w:ascii="宋体"/>
                <w:b/>
                <w:sz w:val="21"/>
              </w:rPr>
              <w:t>023-67063609</w:t>
            </w:r>
            <w:bookmarkEnd w:id="17"/>
          </w:p>
        </w:tc>
        <w:tc>
          <w:tcPr>
            <w:tcW w:w="1672" w:type="dxa"/>
            <w:gridSpan w:val="3"/>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刘敏</w:t>
            </w:r>
            <w:bookmarkEnd w:id="19"/>
          </w:p>
        </w:tc>
        <w:tc>
          <w:tcPr>
            <w:tcW w:w="1109" w:type="dxa"/>
            <w:gridSpan w:val="2"/>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3"/>
          </w:tcPr>
          <w:p>
            <w:pPr>
              <w:rPr>
                <w:rFonts w:ascii="宋体" w:hAnsi="宋体"/>
                <w:b/>
                <w:sz w:val="21"/>
                <w:szCs w:val="21"/>
              </w:rPr>
            </w:pPr>
            <w:r>
              <w:rPr>
                <w:rFonts w:ascii="宋体" w:hAnsi="宋体"/>
                <w:b/>
                <w:sz w:val="21"/>
                <w:szCs w:val="21"/>
              </w:rPr>
              <w:t>刘敏</w:t>
            </w:r>
          </w:p>
        </w:tc>
        <w:tc>
          <w:tcPr>
            <w:tcW w:w="1672" w:type="dxa"/>
            <w:gridSpan w:val="3"/>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凌旭</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3"/>
            <w:vAlign w:val="center"/>
          </w:tcPr>
          <w:p>
            <w:pPr>
              <w:rPr>
                <w:rFonts w:ascii="宋体" w:hAnsi="宋体"/>
                <w:b/>
                <w:sz w:val="21"/>
                <w:szCs w:val="21"/>
              </w:rPr>
            </w:pPr>
            <w:bookmarkStart w:id="21" w:name="审核日期"/>
            <w:r>
              <w:rPr>
                <w:rFonts w:ascii="宋体" w:hAnsi="宋体"/>
                <w:b/>
                <w:sz w:val="21"/>
                <w:szCs w:val="21"/>
              </w:rPr>
              <w:t>2021年05月28日 上午至2021年05月28日 下午</w:t>
            </w:r>
            <w:bookmarkEnd w:id="21"/>
          </w:p>
        </w:tc>
        <w:tc>
          <w:tcPr>
            <w:tcW w:w="1609" w:type="dxa"/>
            <w:gridSpan w:val="2"/>
            <w:vAlign w:val="center"/>
          </w:tcPr>
          <w:p>
            <w:pPr>
              <w:rPr>
                <w:rFonts w:ascii="宋体" w:hAnsi="宋体"/>
                <w:b/>
                <w:sz w:val="21"/>
                <w:szCs w:val="21"/>
              </w:rPr>
            </w:pPr>
            <w:r>
              <w:rPr>
                <w:rFonts w:hint="eastAsia" w:ascii="宋体" w:hAnsi="宋体"/>
                <w:b/>
                <w:sz w:val="21"/>
                <w:szCs w:val="21"/>
              </w:rPr>
              <w:t>一体化审核</w:t>
            </w:r>
          </w:p>
        </w:tc>
        <w:tc>
          <w:tcPr>
            <w:tcW w:w="3181" w:type="dxa"/>
            <w:gridSpan w:val="5"/>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10"/>
          </w:tcPr>
          <w:p>
            <w:pPr>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审核范围"/>
            <w:r>
              <w:rPr>
                <w:sz w:val="20"/>
              </w:rPr>
              <w:t>垃圾分类设备的销售；生活垃圾</w:t>
            </w:r>
            <w:r>
              <w:rPr>
                <w:rFonts w:hint="eastAsia"/>
                <w:sz w:val="20"/>
              </w:rPr>
              <w:t>分类</w:t>
            </w:r>
            <w:r>
              <w:rPr>
                <w:sz w:val="20"/>
              </w:rPr>
              <w:t>收集、运输服务</w:t>
            </w:r>
            <w:bookmarkEnd w:id="23"/>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sz w:val="20"/>
              </w:rPr>
              <w:t>垃圾分类设备的销售；生活垃圾</w:t>
            </w:r>
            <w:r>
              <w:rPr>
                <w:rFonts w:hint="eastAsia"/>
                <w:sz w:val="20"/>
              </w:rPr>
              <w:t>分类</w:t>
            </w:r>
            <w:r>
              <w:rPr>
                <w:sz w:val="20"/>
              </w:rPr>
              <w:t>收集、运输服务所涉及的相关职业健康安全管理活动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sz w:val="20"/>
              </w:rPr>
              <w:t>垃圾分类设备的销售；生活垃圾</w:t>
            </w:r>
            <w:r>
              <w:rPr>
                <w:rFonts w:hint="eastAsia"/>
                <w:sz w:val="20"/>
              </w:rPr>
              <w:t>分类</w:t>
            </w:r>
            <w:r>
              <w:rPr>
                <w:sz w:val="20"/>
              </w:rPr>
              <w:t>收集、运输服务所涉及的相关环境管理活动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t>□否</w:t>
            </w:r>
          </w:p>
        </w:tc>
        <w:tc>
          <w:tcPr>
            <w:tcW w:w="7588" w:type="dxa"/>
            <w:gridSpan w:val="10"/>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018" w:type="dxa"/>
            <w:gridSpan w:val="2"/>
          </w:tcPr>
          <w:p>
            <w:pPr>
              <w:spacing w:line="260" w:lineRule="exact"/>
              <w:rPr>
                <w:rFonts w:ascii="宋体" w:hAnsi="宋体"/>
                <w:b/>
                <w:sz w:val="21"/>
                <w:szCs w:val="21"/>
              </w:rPr>
            </w:pPr>
            <w:bookmarkStart w:id="26" w:name="专业代码"/>
            <w:r>
              <w:rPr>
                <w:rFonts w:ascii="宋体" w:hAnsi="宋体"/>
                <w:b/>
                <w:sz w:val="21"/>
                <w:szCs w:val="21"/>
              </w:rPr>
              <w:t>Q：29.10.07;</w:t>
            </w:r>
          </w:p>
          <w:p>
            <w:pPr>
              <w:spacing w:line="260" w:lineRule="exact"/>
              <w:rPr>
                <w:rFonts w:ascii="宋体" w:hAnsi="宋体"/>
                <w:b/>
                <w:sz w:val="21"/>
                <w:szCs w:val="21"/>
              </w:rPr>
            </w:pPr>
            <w:r>
              <w:rPr>
                <w:rFonts w:ascii="宋体" w:hAnsi="宋体"/>
                <w:b/>
                <w:sz w:val="21"/>
                <w:szCs w:val="21"/>
              </w:rPr>
              <w:t>31.04.01;39.02.01</w:t>
            </w:r>
          </w:p>
          <w:p>
            <w:pPr>
              <w:spacing w:line="260" w:lineRule="exact"/>
              <w:rPr>
                <w:rFonts w:ascii="宋体" w:hAnsi="宋体"/>
                <w:b/>
                <w:sz w:val="21"/>
                <w:szCs w:val="21"/>
              </w:rPr>
            </w:pPr>
            <w:r>
              <w:rPr>
                <w:rFonts w:ascii="宋体" w:hAnsi="宋体"/>
                <w:b/>
                <w:sz w:val="21"/>
                <w:szCs w:val="21"/>
              </w:rPr>
              <w:t>O：29.10.07;</w:t>
            </w:r>
          </w:p>
          <w:p>
            <w:pPr>
              <w:spacing w:line="260" w:lineRule="exact"/>
              <w:rPr>
                <w:rFonts w:ascii="宋体" w:hAnsi="宋体"/>
                <w:b/>
                <w:sz w:val="21"/>
                <w:szCs w:val="21"/>
              </w:rPr>
            </w:pPr>
            <w:r>
              <w:rPr>
                <w:rFonts w:ascii="宋体" w:hAnsi="宋体"/>
                <w:b/>
                <w:sz w:val="21"/>
                <w:szCs w:val="21"/>
              </w:rPr>
              <w:t>31.04.01;39.02.01</w:t>
            </w:r>
          </w:p>
          <w:p>
            <w:pPr>
              <w:spacing w:line="260" w:lineRule="exact"/>
              <w:rPr>
                <w:rFonts w:ascii="宋体" w:hAnsi="宋体"/>
                <w:b/>
                <w:sz w:val="21"/>
                <w:szCs w:val="21"/>
              </w:rPr>
            </w:pPr>
            <w:r>
              <w:rPr>
                <w:rFonts w:ascii="宋体" w:hAnsi="宋体"/>
                <w:b/>
                <w:sz w:val="21"/>
                <w:szCs w:val="21"/>
              </w:rPr>
              <w:t>E：29.10.07;</w:t>
            </w:r>
          </w:p>
          <w:p>
            <w:pPr>
              <w:spacing w:line="260" w:lineRule="exact"/>
              <w:rPr>
                <w:rFonts w:ascii="宋体" w:hAnsi="宋体"/>
                <w:b/>
                <w:sz w:val="21"/>
                <w:szCs w:val="21"/>
              </w:rPr>
            </w:pPr>
            <w:r>
              <w:rPr>
                <w:rFonts w:ascii="宋体" w:hAnsi="宋体"/>
                <w:b/>
                <w:sz w:val="21"/>
                <w:szCs w:val="21"/>
              </w:rPr>
              <w:t>31.04.01;39.02.01</w:t>
            </w:r>
            <w:bookmarkEnd w:id="26"/>
          </w:p>
        </w:tc>
        <w:tc>
          <w:tcPr>
            <w:tcW w:w="844" w:type="dxa"/>
            <w:gridSpan w:val="2"/>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889" w:type="dxa"/>
            <w:gridSpan w:val="3"/>
          </w:tcPr>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2023年5月13日</w:t>
            </w:r>
          </w:p>
        </w:tc>
        <w:tc>
          <w:tcPr>
            <w:tcW w:w="1064"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773" w:type="dxa"/>
            <w:gridSpan w:val="2"/>
          </w:tcPr>
          <w:p>
            <w:pPr>
              <w:spacing w:line="260" w:lineRule="exact"/>
              <w:rPr>
                <w:rFonts w:hint="eastAsia"/>
                <w:b/>
                <w:sz w:val="20"/>
              </w:rPr>
            </w:pPr>
          </w:p>
          <w:p>
            <w:pPr>
              <w:spacing w:line="260" w:lineRule="exact"/>
              <w:rPr>
                <w:rFonts w:hint="eastAsia"/>
                <w:b/>
                <w:sz w:val="20"/>
              </w:rPr>
            </w:pPr>
          </w:p>
          <w:p>
            <w:pPr>
              <w:spacing w:line="260" w:lineRule="exact"/>
              <w:rPr>
                <w:rFonts w:ascii="宋体"/>
                <w:b/>
                <w:sz w:val="21"/>
              </w:rPr>
            </w:pPr>
            <w:r>
              <w:rPr>
                <w:rFonts w:hint="eastAsia"/>
                <w:b/>
                <w:sz w:val="20"/>
              </w:rPr>
              <w:t>2020年05月8日</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b/>
          <w:sz w:val="20"/>
        </w:rPr>
        <w:t>2020年05月8日</w:t>
      </w:r>
      <w:r>
        <w:rPr>
          <w:rFonts w:hint="eastAsia" w:ascii="宋体" w:hAnsi="宋体"/>
          <w:b/>
          <w:sz w:val="21"/>
          <w:szCs w:val="21"/>
        </w:rPr>
        <w:t>至</w:t>
      </w:r>
      <w:r>
        <w:rPr>
          <w:rFonts w:hint="eastAsia"/>
          <w:b/>
          <w:sz w:val="20"/>
        </w:rPr>
        <w:t>2021年05月28日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jc w:val="center"/>
        </w:trPr>
        <w:tc>
          <w:tcPr>
            <w:tcW w:w="720" w:type="dxa"/>
            <w:vMerge w:val="restart"/>
            <w:textDirection w:val="tbRlV"/>
            <w:vAlign w:val="center"/>
          </w:tcPr>
          <w:p>
            <w:pPr>
              <w:spacing w:line="240" w:lineRule="exact"/>
              <w:ind w:left="211" w:right="113" w:hanging="211" w:hangingChars="100"/>
              <w:jc w:val="center"/>
              <w:rPr>
                <w:rFonts w:ascii="宋体"/>
                <w:b/>
                <w:sz w:val="21"/>
                <w:szCs w:val="21"/>
              </w:rPr>
            </w:pPr>
            <w:r>
              <w:rPr>
                <w:rFonts w:ascii="宋体" w:hAnsi="宋体"/>
                <w:b/>
                <w:sz w:val="21"/>
                <w:szCs w:val="21"/>
              </w:rPr>
              <w:t>(</w:t>
            </w:r>
            <w:r>
              <w:rPr>
                <w:rFonts w:hint="eastAsia" w:ascii="宋体" w:hAnsi="宋体"/>
                <w:b/>
                <w:sz w:val="21"/>
                <w:szCs w:val="21"/>
              </w:rPr>
              <w:t>一</w:t>
            </w:r>
            <w:r>
              <w:rPr>
                <w:rFonts w:ascii="宋体" w:hAnsi="宋体"/>
                <w:b/>
                <w:sz w:val="21"/>
                <w:szCs w:val="21"/>
              </w:rPr>
              <w:t>)</w:t>
            </w:r>
            <w:r>
              <w:rPr>
                <w:rFonts w:hint="eastAsia" w:ascii="宋体" w:hAnsi="宋体"/>
                <w:b/>
                <w:sz w:val="21"/>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tabs>
                <w:tab w:val="left" w:pos="1080"/>
              </w:tabs>
              <w:spacing w:line="400" w:lineRule="exact"/>
              <w:rPr>
                <w:rFonts w:ascii="宋体" w:hAnsi="宋体"/>
                <w:b/>
                <w:sz w:val="21"/>
                <w:szCs w:val="21"/>
              </w:rPr>
            </w:pPr>
            <w:r>
              <w:rPr>
                <w:rFonts w:hint="eastAsia" w:ascii="宋体" w:hAnsi="宋体"/>
                <w:sz w:val="21"/>
                <w:szCs w:val="21"/>
              </w:rPr>
              <w:t>重庆良多科技有限公司成立于2014年05月15日，注册地址</w:t>
            </w:r>
            <w:r>
              <w:rPr>
                <w:rFonts w:hint="eastAsia" w:ascii="宋体" w:hAnsi="宋体"/>
                <w:sz w:val="21"/>
                <w:szCs w:val="21"/>
                <w:lang w:val="en-US" w:eastAsia="zh-CN"/>
              </w:rPr>
              <w:t>变更后为</w:t>
            </w:r>
            <w:r>
              <w:rPr>
                <w:rFonts w:hint="eastAsia" w:ascii="宋体" w:hAnsi="宋体"/>
                <w:sz w:val="21"/>
                <w:szCs w:val="21"/>
              </w:rPr>
              <w:t>重庆</w:t>
            </w:r>
            <w:r>
              <w:rPr>
                <w:rFonts w:hint="eastAsia" w:ascii="宋体" w:hAnsi="宋体"/>
                <w:color w:val="auto"/>
                <w:sz w:val="21"/>
                <w:szCs w:val="21"/>
              </w:rPr>
              <w:t>市璧山区青杠街道龙青支二路11号3-</w:t>
            </w:r>
            <w:r>
              <w:rPr>
                <w:rFonts w:ascii="宋体" w:hAnsi="宋体"/>
                <w:color w:val="auto"/>
                <w:szCs w:val="21"/>
              </w:rPr>
              <w:t>1</w:t>
            </w:r>
            <w:r>
              <w:rPr>
                <w:rFonts w:hint="eastAsia" w:ascii="宋体" w:hAnsi="宋体"/>
                <w:color w:val="auto"/>
                <w:sz w:val="21"/>
                <w:szCs w:val="21"/>
              </w:rPr>
              <w:t>，主要经营：垃圾分类设备的销售；生活垃圾分类收集、运输服务。</w:t>
            </w:r>
            <w:r>
              <w:rPr>
                <w:rFonts w:hint="eastAsia" w:ascii="宋体" w:hAnsi="宋体"/>
                <w:sz w:val="21"/>
                <w:szCs w:val="21"/>
              </w:rPr>
              <w:t>现有员工18人，目前经营情况良好。组织对内外部因素、相关方需求和期望进行了充分的识别，策划和实施有效。确定了体系的边界，基本适用。公司的服务项目主要根据行业标准及顾客要求进行服务，服务模式固定，不涉及设计开发工作，故Q的8.3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jc w:val="center"/>
        </w:trPr>
        <w:tc>
          <w:tcPr>
            <w:tcW w:w="720" w:type="dxa"/>
            <w:vMerge w:val="continue"/>
            <w:textDirection w:val="tbRlV"/>
            <w:vAlign w:val="center"/>
          </w:tcPr>
          <w:p>
            <w:pPr>
              <w:spacing w:line="240" w:lineRule="exact"/>
              <w:ind w:left="211" w:right="113" w:hanging="211" w:hangingChars="100"/>
              <w:jc w:val="center"/>
              <w:rPr>
                <w:rFonts w:ascii="宋体"/>
                <w:b/>
                <w:sz w:val="21"/>
                <w:szCs w:val="21"/>
              </w:rPr>
            </w:pPr>
          </w:p>
        </w:tc>
        <w:tc>
          <w:tcPr>
            <w:tcW w:w="9198" w:type="dxa"/>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服务质量符合要求、服务及时、价格合理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11" w:right="113" w:hanging="211" w:hangingChars="100"/>
              <w:jc w:val="center"/>
              <w:rPr>
                <w:rFonts w:ascii="宋体"/>
                <w:b/>
                <w:sz w:val="21"/>
                <w:szCs w:val="21"/>
              </w:rPr>
            </w:pPr>
          </w:p>
        </w:tc>
        <w:tc>
          <w:tcPr>
            <w:tcW w:w="9198" w:type="dxa"/>
          </w:tcPr>
          <w:p>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z w:val="21"/>
                <w:szCs w:val="21"/>
              </w:rPr>
              <w:t>■</w:t>
            </w:r>
            <w:r>
              <w:rPr>
                <w:rFonts w:hint="eastAsia" w:ascii="宋体" w:hAnsi="宋体"/>
                <w:b/>
                <w:color w:val="000000" w:themeColor="text1"/>
                <w:sz w:val="21"/>
                <w:szCs w:val="21"/>
              </w:rPr>
              <w:t>质量/■环境/■职业健康安全方针（组织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spacing w:line="400" w:lineRule="exact"/>
              <w:rPr>
                <w:rFonts w:ascii="宋体" w:hAnsi="宋体"/>
                <w:color w:val="000000" w:themeColor="text1"/>
                <w:sz w:val="21"/>
                <w:szCs w:val="21"/>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tabs>
                <w:tab w:val="left" w:pos="3731"/>
              </w:tabs>
              <w:adjustRightInd w:val="0"/>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质量方针：</w:t>
            </w:r>
          </w:p>
          <w:p>
            <w:pPr>
              <w:tabs>
                <w:tab w:val="left" w:pos="3731"/>
              </w:tabs>
              <w:adjustRightInd w:val="0"/>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科学领先，顾客满意，持续改进，行业领先，质量一流，服务一流。</w:t>
            </w:r>
          </w:p>
          <w:p>
            <w:pPr>
              <w:tabs>
                <w:tab w:val="left" w:pos="3731"/>
              </w:tabs>
              <w:adjustRightInd w:val="0"/>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环境职业健康安全方针为：</w:t>
            </w:r>
          </w:p>
          <w:p>
            <w:pPr>
              <w:tabs>
                <w:tab w:val="left" w:pos="3731"/>
              </w:tabs>
              <w:adjustRightInd w:val="0"/>
              <w:snapToGrid w:val="0"/>
              <w:spacing w:line="312" w:lineRule="auto"/>
              <w:rPr>
                <w:rFonts w:ascii="宋体" w:hAnsi="宋体"/>
                <w:b/>
                <w:sz w:val="21"/>
                <w:szCs w:val="21"/>
              </w:rPr>
            </w:pPr>
            <w:r>
              <w:rPr>
                <w:rFonts w:hint="eastAsia" w:asciiTheme="minorEastAsia" w:hAnsiTheme="minorEastAsia" w:eastAsiaTheme="minorEastAsia" w:cstheme="minorEastAsia"/>
                <w:sz w:val="21"/>
                <w:szCs w:val="21"/>
              </w:rPr>
              <w:t>预防为主，遵规守法，确保环境安全；以人为本，持续改进，实现平安和谐。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720" w:type="dxa"/>
            <w:vMerge w:val="continue"/>
            <w:textDirection w:val="tbRlV"/>
            <w:vAlign w:val="center"/>
          </w:tcPr>
          <w:p>
            <w:pPr>
              <w:spacing w:line="240" w:lineRule="exact"/>
              <w:ind w:left="211" w:right="113" w:hanging="211" w:hangingChars="100"/>
              <w:jc w:val="center"/>
              <w:rPr>
                <w:rFonts w:ascii="宋体"/>
                <w:b/>
                <w:sz w:val="21"/>
                <w:szCs w:val="21"/>
              </w:rPr>
            </w:pPr>
          </w:p>
        </w:tc>
        <w:tc>
          <w:tcPr>
            <w:tcW w:w="9198" w:type="dxa"/>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210" w:firstLineChars="100"/>
              <w:rPr>
                <w:rFonts w:ascii="宋体" w:hAnsi="宋体"/>
                <w:color w:val="000000" w:themeColor="text1"/>
                <w:sz w:val="21"/>
                <w:szCs w:val="21"/>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sz w:val="21"/>
                <w:szCs w:val="21"/>
              </w:rPr>
            </w:pPr>
            <w:r>
              <w:rPr>
                <w:rFonts w:ascii="宋体" w:hAnsi="宋体"/>
                <w:b/>
                <w:sz w:val="21"/>
                <w:szCs w:val="21"/>
              </w:rPr>
              <w:t>5.QMS</w:t>
            </w:r>
          </w:p>
          <w:p>
            <w:pPr>
              <w:tabs>
                <w:tab w:val="left" w:pos="540"/>
              </w:tabs>
              <w:spacing w:line="300" w:lineRule="exact"/>
              <w:ind w:left="241" w:hanging="211" w:hangingChars="100"/>
              <w:rPr>
                <w:rFonts w:ascii="宋体" w:hAnsi="宋体"/>
                <w:b/>
                <w:color w:val="000000" w:themeColor="text1"/>
                <w:sz w:val="21"/>
                <w:szCs w:val="21"/>
                <w:u w:val="single"/>
              </w:rPr>
            </w:pPr>
            <w:r>
              <w:rPr>
                <w:rFonts w:hint="eastAsia" w:ascii="宋体" w:hAnsi="宋体"/>
                <w:b/>
                <w:sz w:val="21"/>
                <w:szCs w:val="21"/>
              </w:rPr>
              <w:t>质量管理体系过程有：</w:t>
            </w:r>
            <w:r>
              <w:rPr>
                <w:rFonts w:hint="eastAsia" w:ascii="宋体" w:hAnsi="宋体"/>
                <w:b/>
                <w:color w:val="000000" w:themeColor="text1"/>
                <w:sz w:val="21"/>
                <w:szCs w:val="21"/>
              </w:rPr>
              <w:t>合同评审、服务管理过程。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其中关键过程有：服务过程。</w:t>
            </w:r>
          </w:p>
          <w:p>
            <w:pPr>
              <w:tabs>
                <w:tab w:val="left" w:pos="540"/>
              </w:tabs>
              <w:spacing w:line="300" w:lineRule="exact"/>
              <w:ind w:left="24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41" w:hanging="211" w:hangingChars="100"/>
              <w:rPr>
                <w:rFonts w:ascii="宋体" w:hAnsi="宋体"/>
                <w:b/>
                <w:sz w:val="21"/>
                <w:szCs w:val="21"/>
              </w:rPr>
            </w:pPr>
            <w:r>
              <w:rPr>
                <w:rFonts w:ascii="宋体" w:hAnsi="宋体"/>
                <w:b/>
                <w:sz w:val="21"/>
                <w:szCs w:val="21"/>
              </w:rPr>
              <w:pict>
                <v:shape id="_x0000_s1038" o:spid="_x0000_s1038" o:spt="32" type="#_x0000_t32" style="position:absolute;left:0pt;margin-left:157.9pt;margin-top:12.75pt;height:0pt;width:261.75pt;z-index:251668480;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37" o:spid="_x0000_s1037" o:spt="32" type="#_x0000_t32" style="position:absolute;left:0pt;margin-left:55.15pt;margin-top:12.75pt;height:0pt;width:42pt;z-index:251667456;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删减条款是，8.3   删减理由：</w:t>
            </w:r>
            <w:r>
              <w:rPr>
                <w:rFonts w:hint="eastAsia"/>
                <w:color w:val="auto"/>
                <w:sz w:val="21"/>
                <w:szCs w:val="21"/>
                <w:u w:val="single"/>
              </w:rPr>
              <w:t>公司主要按照国家、行业标准及法律法规要求实施垃圾分类收集、运输服务及销售过程,销售和服务过程模式固定，不进行新的过程设计</w:t>
            </w:r>
            <w:r>
              <w:rPr>
                <w:rFonts w:hint="eastAsia" w:ascii="宋体" w:hAnsi="宋体"/>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6. 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sz w:val="21"/>
                <w:szCs w:val="21"/>
              </w:rPr>
            </w:pPr>
            <w:r>
              <w:rPr>
                <w:rFonts w:hint="eastAsia" w:ascii="宋体" w:hAnsi="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hint="eastAsia" w:ascii="宋体" w:hAnsi="宋体" w:cs="宋体"/>
                <w:sz w:val="21"/>
                <w:szCs w:val="21"/>
              </w:rPr>
              <w:t>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7. 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b/>
                <w:sz w:val="21"/>
                <w:szCs w:val="21"/>
              </w:rPr>
            </w:pPr>
            <w:r>
              <w:rPr>
                <w:rFonts w:hint="eastAsia" w:ascii="宋体" w:hAnsi="宋体" w:cs="宋体"/>
                <w:sz w:val="21"/>
                <w:szCs w:val="21"/>
              </w:rPr>
              <w:t>组织建立了危险源识别、评价控制程序，识别评价了危险源、风险相关的过程，评价出了火灾、中暑、交通事故伤害等重要危险源，与之相关的过程有设备销售、垃圾分类收集、运输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b/>
                <w:color w:val="000000" w:themeColor="text1"/>
                <w:spacing w:val="-4"/>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tabs>
                <w:tab w:val="left" w:pos="540"/>
              </w:tabs>
              <w:spacing w:line="300" w:lineRule="exact"/>
              <w:ind w:left="211" w:hanging="211" w:hangingChars="100"/>
              <w:rPr>
                <w:rFonts w:ascii="宋体" w:hAnsi="宋体"/>
                <w:b/>
                <w:color w:val="000000" w:themeColor="text1"/>
                <w:sz w:val="21"/>
                <w:szCs w:val="21"/>
              </w:rPr>
            </w:pPr>
          </w:p>
          <w:p>
            <w:pPr>
              <w:pStyle w:val="12"/>
              <w:numPr>
                <w:ilvl w:val="0"/>
                <w:numId w:val="2"/>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法律法规要求及时更新了</w:t>
            </w:r>
          </w:p>
          <w:p>
            <w:pPr>
              <w:tabs>
                <w:tab w:val="left" w:pos="0"/>
              </w:tabs>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tabs>
                <w:tab w:val="left" w:pos="3731"/>
              </w:tabs>
              <w:adjustRightInd w:val="0"/>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质量目标</w:t>
            </w:r>
          </w:p>
          <w:p>
            <w:pPr>
              <w:tabs>
                <w:tab w:val="left" w:pos="3731"/>
              </w:tabs>
              <w:adjustRightInd w:val="0"/>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1）生活垃圾分类收集、运输合格率：100% </w:t>
            </w:r>
          </w:p>
          <w:p>
            <w:pPr>
              <w:tabs>
                <w:tab w:val="left" w:pos="3731"/>
              </w:tabs>
              <w:adjustRightInd w:val="0"/>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2）顾客满意率：&gt;90分</w:t>
            </w:r>
          </w:p>
          <w:p>
            <w:pPr>
              <w:tabs>
                <w:tab w:val="left" w:pos="3731"/>
              </w:tabs>
              <w:adjustRightInd w:val="0"/>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环境职业健康安全管理目标：</w:t>
            </w:r>
          </w:p>
          <w:p>
            <w:pPr>
              <w:tabs>
                <w:tab w:val="left" w:pos="3731"/>
              </w:tabs>
              <w:adjustRightInd w:val="0"/>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潜在</w:t>
            </w:r>
            <w:r>
              <w:rPr>
                <w:rFonts w:hint="eastAsia" w:asciiTheme="minorEastAsia" w:hAnsiTheme="minorEastAsia" w:eastAsiaTheme="minorEastAsia" w:cstheme="minorEastAsia"/>
                <w:sz w:val="21"/>
                <w:szCs w:val="21"/>
              </w:rPr>
              <w:t>火灾发生率为0；</w:t>
            </w:r>
          </w:p>
          <w:p>
            <w:pPr>
              <w:tabs>
                <w:tab w:val="left" w:pos="3731"/>
              </w:tabs>
              <w:adjustRightInd w:val="0"/>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2）意外伤害为0；</w:t>
            </w:r>
          </w:p>
          <w:p>
            <w:pPr>
              <w:tabs>
                <w:tab w:val="left" w:pos="3731"/>
              </w:tabs>
              <w:adjustRightInd w:val="0"/>
              <w:snapToGrid w:val="0"/>
              <w:spacing w:line="312" w:lineRule="auto"/>
              <w:rPr>
                <w:rFonts w:ascii="宋体" w:hAnsi="宋体"/>
                <w:b/>
                <w:sz w:val="21"/>
                <w:szCs w:val="21"/>
              </w:rPr>
            </w:pPr>
            <w:r>
              <w:rPr>
                <w:rFonts w:hint="eastAsia" w:asciiTheme="minorEastAsia" w:hAnsiTheme="minorEastAsia" w:eastAsiaTheme="minorEastAsia" w:cstheme="minorEastAsia"/>
                <w:sz w:val="21"/>
                <w:szCs w:val="21"/>
              </w:rPr>
              <w:t>3）固废处置合规率100%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2019年12月20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ascii="宋体" w:hAnsi="宋体" w:cs="宋体"/>
                <w:sz w:val="21"/>
                <w:szCs w:val="21"/>
              </w:rPr>
            </w:pPr>
            <w:r>
              <w:rPr>
                <w:rFonts w:hint="eastAsia" w:ascii="宋体" w:hAnsi="宋体" w:cs="宋体"/>
                <w:sz w:val="21"/>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cs="宋体"/>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20" w:lineRule="exact"/>
              <w:rPr>
                <w:rFonts w:ascii="宋体" w:hAnsi="宋体"/>
                <w:b/>
                <w:sz w:val="21"/>
                <w:szCs w:val="21"/>
              </w:rPr>
            </w:pPr>
            <w:r>
              <w:rPr>
                <w:rFonts w:hint="eastAsia" w:ascii="宋体" w:hAnsi="宋体" w:cs="宋体"/>
                <w:sz w:val="21"/>
                <w:szCs w:val="21"/>
              </w:rPr>
              <w:t>办公面积220平方左右，作业场所（含库房）面积130平方米，主要生产设备包括：</w:t>
            </w:r>
            <w:r>
              <w:rPr>
                <w:rFonts w:hint="eastAsia"/>
                <w:sz w:val="21"/>
                <w:szCs w:val="21"/>
              </w:rPr>
              <w:t>办公设备、电脑、手动叉车、垃圾运输车辆、智能垃圾分类箱</w:t>
            </w:r>
            <w:r>
              <w:rPr>
                <w:rStyle w:val="14"/>
                <w:rFonts w:hint="eastAsia" w:ascii="宋体" w:hAnsi="宋体"/>
                <w:sz w:val="21"/>
                <w:szCs w:val="21"/>
              </w:rPr>
              <w:t>等</w:t>
            </w:r>
            <w:r>
              <w:rPr>
                <w:rFonts w:hint="eastAsia" w:ascii="宋体" w:hAnsi="宋体" w:cs="宋体"/>
                <w:sz w:val="21"/>
                <w:szCs w:val="21"/>
              </w:rPr>
              <w:t>，可以满足垃圾分类设备的销售；生活垃圾分类收集、运输服务需要。技术部对设备按月方式进行点检维护保养，并实施。特种设备：</w:t>
            </w:r>
            <w:r>
              <w:rPr>
                <w:rFonts w:hint="eastAsia"/>
                <w:sz w:val="21"/>
                <w:szCs w:val="21"/>
              </w:rPr>
              <w:t>无</w:t>
            </w:r>
            <w:r>
              <w:rPr>
                <w:rFonts w:hint="eastAsia" w:ascii="宋体" w:hAnsi="宋体"/>
                <w:sz w:val="21"/>
                <w:szCs w:val="21"/>
              </w:rPr>
              <w:t>。</w:t>
            </w:r>
            <w:r>
              <w:rPr>
                <w:rFonts w:hint="eastAsia" w:ascii="宋体" w:hAnsi="宋体" w:cs="宋体"/>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sz w:val="21"/>
                <w:szCs w:val="21"/>
              </w:rPr>
              <w:t>办公区域内设备布置合理，照明设施齐全，均配备了灭火器、消防栓等设施。目前公司从事服务及工作性质</w:t>
            </w:r>
            <w:r>
              <w:rPr>
                <w:rFonts w:hint="eastAsia" w:ascii="宋体" w:hAnsi="宋体"/>
                <w:sz w:val="21"/>
                <w:szCs w:val="21"/>
                <w:lang w:val="de-DE"/>
              </w:rPr>
              <w:t>的对</w:t>
            </w:r>
            <w:r>
              <w:rPr>
                <w:rFonts w:hint="eastAsia" w:ascii="宋体" w:hAnsi="宋体"/>
                <w:sz w:val="21"/>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exact"/>
              <w:rPr>
                <w:rFonts w:hint="default" w:ascii="宋体" w:hAnsi="宋体" w:eastAsia="宋体"/>
                <w:b/>
                <w:sz w:val="21"/>
                <w:szCs w:val="21"/>
                <w:lang w:val="en-US" w:eastAsia="zh-CN"/>
              </w:rPr>
            </w:pPr>
            <w:r>
              <w:rPr>
                <w:rFonts w:hint="eastAsia"/>
                <w:b w:val="0"/>
                <w:bCs w:val="0"/>
                <w:sz w:val="21"/>
                <w:szCs w:val="21"/>
              </w:rPr>
              <w:t>电子台秤</w:t>
            </w:r>
            <w:r>
              <w:rPr>
                <w:rFonts w:hint="eastAsia" w:ascii="宋体" w:hAnsi="宋体" w:cs="宋体"/>
                <w:b w:val="0"/>
                <w:bCs w:val="0"/>
                <w:sz w:val="21"/>
                <w:szCs w:val="21"/>
              </w:rPr>
              <w:t>。</w:t>
            </w:r>
            <w:r>
              <w:rPr>
                <w:rFonts w:hint="eastAsia" w:ascii="宋体" w:hAnsi="宋体" w:cs="宋体"/>
                <w:b w:val="0"/>
                <w:bCs w:val="0"/>
                <w:sz w:val="21"/>
                <w:szCs w:val="21"/>
                <w:lang w:val="en-US" w:eastAsia="zh-CN"/>
              </w:rPr>
              <w:t>提供有有效的效准证书。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themeColor="text1"/>
                <w:sz w:val="21"/>
                <w:szCs w:val="21"/>
              </w:rPr>
            </w:pPr>
            <w:r>
              <w:rPr>
                <w:rFonts w:hint="eastAsia" w:ascii="宋体" w:hAnsi="宋体" w:cs="宋体"/>
                <w:color w:val="000000" w:themeColor="text1"/>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1"/>
                <w:szCs w:val="21"/>
              </w:rPr>
            </w:pPr>
            <w:r>
              <w:rPr>
                <w:rFonts w:hint="eastAsia" w:ascii="宋体" w:hAnsi="宋体" w:cs="宋体"/>
                <w:color w:val="000000" w:themeColor="text1"/>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环保设施：</w:t>
            </w:r>
          </w:p>
          <w:p>
            <w:pPr>
              <w:spacing w:line="240" w:lineRule="exact"/>
              <w:rPr>
                <w:rFonts w:ascii="宋体" w:hAnsi="宋体"/>
                <w:color w:val="000000" w:themeColor="text1"/>
                <w:sz w:val="21"/>
                <w:szCs w:val="21"/>
              </w:rPr>
            </w:pPr>
            <w:r>
              <w:rPr>
                <w:rFonts w:hint="eastAsia" w:ascii="宋体" w:hAnsi="宋体"/>
                <w:color w:val="000000" w:themeColor="text1"/>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职业健康安全设施：</w:t>
            </w:r>
          </w:p>
          <w:p>
            <w:pPr>
              <w:spacing w:line="240" w:lineRule="exact"/>
              <w:rPr>
                <w:rFonts w:ascii="宋体" w:hAnsi="宋体"/>
                <w:color w:val="000000" w:themeColor="text1"/>
                <w:sz w:val="21"/>
                <w:szCs w:val="21"/>
              </w:rPr>
            </w:pPr>
            <w:r>
              <w:rPr>
                <w:rFonts w:hint="eastAsia" w:ascii="宋体" w:hAnsi="宋体"/>
                <w:color w:val="000000" w:themeColor="text1"/>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jc w:val="center"/>
        </w:trPr>
        <w:tc>
          <w:tcPr>
            <w:tcW w:w="720" w:type="dxa"/>
            <w:vMerge w:val="restart"/>
            <w:textDirection w:val="tbRlV"/>
            <w:vAlign w:val="center"/>
          </w:tcPr>
          <w:p>
            <w:pPr>
              <w:spacing w:line="240" w:lineRule="exact"/>
              <w:ind w:left="113" w:right="113"/>
              <w:jc w:val="center"/>
              <w:rPr>
                <w:b/>
                <w:sz w:val="21"/>
                <w:szCs w:val="21"/>
              </w:rPr>
            </w:pPr>
            <w:r>
              <w:rPr>
                <w:rFonts w:ascii="宋体" w:hAnsi="宋体"/>
                <w:b/>
                <w:sz w:val="21"/>
                <w:szCs w:val="21"/>
              </w:rPr>
              <w:t>(</w:t>
            </w:r>
            <w:r>
              <w:rPr>
                <w:rFonts w:hint="eastAsia" w:ascii="宋体" w:hAnsi="宋体"/>
                <w:b/>
                <w:sz w:val="21"/>
                <w:szCs w:val="21"/>
              </w:rPr>
              <w:t>三</w:t>
            </w:r>
            <w:r>
              <w:rPr>
                <w:rFonts w:ascii="宋体" w:hAnsi="宋体"/>
                <w:b/>
                <w:sz w:val="21"/>
                <w:szCs w:val="21"/>
              </w:rPr>
              <w:t>)</w:t>
            </w:r>
            <w:r>
              <w:rPr>
                <w:rFonts w:hint="eastAsia" w:ascii="宋体" w:hAnsi="宋体"/>
                <w:b/>
                <w:sz w:val="21"/>
                <w:szCs w:val="21"/>
              </w:rPr>
              <w:t>体系运行情况</w:t>
            </w:r>
          </w:p>
        </w:tc>
        <w:tc>
          <w:tcPr>
            <w:tcW w:w="9198" w:type="dxa"/>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rPr>
                <w:b/>
                <w:color w:val="000000" w:themeColor="text1"/>
                <w:sz w:val="21"/>
                <w:szCs w:val="21"/>
              </w:rPr>
            </w:pPr>
            <w:r>
              <w:rPr>
                <w:rFonts w:hint="eastAsia" w:ascii="宋体" w:hAnsi="宋体" w:cs="宋体"/>
                <w:color w:val="000000" w:themeColor="text1"/>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167"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外部信息的接收、成文并答复的情况（E、S填写）：对会议通知和规定等登记处理</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rPr>
                <w:b/>
                <w:color w:val="000000" w:themeColor="text1"/>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1"/>
                <w:szCs w:val="21"/>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00" w:lineRule="exact"/>
              <w:ind w:firstLine="207" w:firstLineChars="98"/>
              <w:rPr>
                <w:b/>
                <w:color w:val="000000" w:themeColor="text1"/>
                <w:sz w:val="21"/>
                <w:szCs w:val="21"/>
              </w:rPr>
            </w:pPr>
            <w:r>
              <w:rPr>
                <w:rFonts w:hint="eastAsia"/>
                <w:b/>
                <w:color w:val="000000" w:themeColor="text1"/>
                <w:sz w:val="21"/>
                <w:szCs w:val="21"/>
              </w:rPr>
              <w:t>无</w:t>
            </w:r>
          </w:p>
          <w:p>
            <w:pPr>
              <w:spacing w:line="300" w:lineRule="exact"/>
              <w:ind w:firstLine="207" w:firstLineChars="98"/>
              <w:rPr>
                <w:b/>
                <w:color w:val="000000" w:themeColor="text1"/>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rPr>
                <w:b/>
                <w:color w:val="000000" w:themeColor="text1"/>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pStyle w:val="12"/>
              <w:tabs>
                <w:tab w:val="center" w:pos="3169"/>
              </w:tabs>
              <w:spacing w:line="400" w:lineRule="exact"/>
              <w:ind w:firstLine="0" w:firstLineChars="0"/>
              <w:jc w:val="left"/>
              <w:rPr>
                <w:b/>
                <w:color w:val="000000" w:themeColor="text1"/>
                <w:sz w:val="21"/>
                <w:szCs w:val="21"/>
              </w:rPr>
            </w:pPr>
            <w:r>
              <w:rPr>
                <w:rFonts w:hint="eastAsia" w:asciiTheme="minorEastAsia" w:hAnsiTheme="minorEastAsia" w:eastAsiaTheme="minorEastAsia"/>
                <w:bCs/>
                <w:iCs/>
                <w:sz w:val="21"/>
                <w:szCs w:val="21"/>
              </w:rPr>
              <w:t>组织重要环境因素为</w:t>
            </w:r>
            <w:r>
              <w:rPr>
                <w:rFonts w:hint="eastAsia" w:ascii="宋体" w:hAnsi="宋体" w:cs="宋体"/>
                <w:sz w:val="21"/>
                <w:szCs w:val="21"/>
              </w:rPr>
              <w:t>潜在火灾、固废废弃物</w:t>
            </w:r>
            <w:r>
              <w:rPr>
                <w:rFonts w:hint="eastAsia" w:asciiTheme="minorEastAsia" w:hAnsiTheme="minorEastAsia" w:eastAsiaTheme="minorEastAsia"/>
                <w:bCs/>
                <w:iCs/>
                <w:sz w:val="21"/>
                <w:szCs w:val="21"/>
              </w:rPr>
              <w:t>，需要应对的风险和机遇相关的过程为销售过程和服务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sz w:val="21"/>
                <w:szCs w:val="21"/>
              </w:rPr>
              <w:t>火灾；交通事故；</w:t>
            </w:r>
            <w:r>
              <w:rPr>
                <w:rFonts w:hint="eastAsia"/>
                <w:sz w:val="21"/>
                <w:szCs w:val="21"/>
                <w:lang w:val="en-US" w:eastAsia="zh-CN"/>
              </w:rPr>
              <w:t>中暑</w:t>
            </w:r>
            <w:r>
              <w:rPr>
                <w:rFonts w:hint="eastAsia"/>
                <w:sz w:val="21"/>
                <w:szCs w:val="21"/>
              </w:rPr>
              <w:t>）</w:t>
            </w:r>
            <w:r>
              <w:rPr>
                <w:rFonts w:hint="eastAsia" w:asciiTheme="minorEastAsia" w:hAnsiTheme="minorEastAsia" w:eastAsiaTheme="minorEastAsia"/>
                <w:bCs/>
                <w:iCs/>
                <w:sz w:val="21"/>
                <w:szCs w:val="21"/>
              </w:rPr>
              <w:t>，与之相关的过程有服务、销售过程，针对不可接受风险制定了管理方案。控制措施实施有效。</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21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10. 对特种设备的维护; </w:t>
            </w:r>
            <w:r>
              <w:rPr>
                <w:rFonts w:hint="eastAsia"/>
                <w:b/>
                <w:sz w:val="21"/>
                <w:szCs w:val="21"/>
              </w:rPr>
              <w:t>（适用时）</w:t>
            </w:r>
          </w:p>
          <w:p>
            <w:pPr>
              <w:spacing w:line="240" w:lineRule="exact"/>
              <w:rPr>
                <w:b/>
                <w:color w:val="000000" w:themeColor="text1"/>
                <w:sz w:val="21"/>
                <w:szCs w:val="21"/>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sz w:val="21"/>
                <w:szCs w:val="21"/>
              </w:rPr>
            </w:pPr>
            <w:r>
              <w:rPr>
                <w:rFonts w:hint="eastAsia"/>
                <w:b/>
                <w:color w:val="000000" w:themeColor="text1"/>
                <w:sz w:val="21"/>
                <w:szCs w:val="21"/>
              </w:rPr>
              <w:t>11 .对危险化学品销售、使用、储存、运输处置，规定的执行力度(必要时);</w:t>
            </w:r>
            <w:r>
              <w:rPr>
                <w:rFonts w:hint="eastAsia"/>
                <w:b/>
                <w:sz w:val="21"/>
                <w:szCs w:val="21"/>
              </w:rPr>
              <w:t>（适用时）</w:t>
            </w:r>
          </w:p>
          <w:p>
            <w:pPr>
              <w:spacing w:line="240" w:lineRule="exact"/>
              <w:rPr>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20" w:type="dxa"/>
            <w:vMerge w:val="restart"/>
            <w:textDirection w:val="tbRlV"/>
            <w:vAlign w:val="center"/>
          </w:tcPr>
          <w:p>
            <w:pPr>
              <w:spacing w:line="240" w:lineRule="exact"/>
              <w:ind w:left="113" w:right="113"/>
              <w:jc w:val="center"/>
              <w:rPr>
                <w:rFonts w:ascii="宋体" w:hAnsi="宋体"/>
                <w:b/>
                <w:sz w:val="21"/>
                <w:szCs w:val="21"/>
              </w:rPr>
            </w:pPr>
            <w:r>
              <w:rPr>
                <w:rFonts w:ascii="宋体" w:hAnsi="宋体"/>
                <w:b/>
                <w:sz w:val="21"/>
                <w:szCs w:val="21"/>
              </w:rPr>
              <w:t>(</w:t>
            </w:r>
            <w:r>
              <w:rPr>
                <w:rFonts w:hint="eastAsia" w:ascii="宋体" w:hAnsi="宋体"/>
                <w:b/>
                <w:sz w:val="21"/>
                <w:szCs w:val="21"/>
              </w:rPr>
              <w:t>四</w:t>
            </w:r>
            <w:r>
              <w:rPr>
                <w:rFonts w:ascii="宋体" w:hAnsi="宋体"/>
                <w:b/>
                <w:sz w:val="21"/>
                <w:szCs w:val="21"/>
              </w:rPr>
              <w:t>)</w:t>
            </w:r>
            <w:r>
              <w:rPr>
                <w:rFonts w:hint="eastAsia" w:ascii="宋体" w:hAnsi="宋体"/>
                <w:b/>
                <w:sz w:val="21"/>
                <w:szCs w:val="21"/>
              </w:rPr>
              <w:t>监视测量方面</w:t>
            </w:r>
          </w:p>
        </w:tc>
        <w:tc>
          <w:tcPr>
            <w:tcW w:w="9198" w:type="dxa"/>
          </w:tcPr>
          <w:p>
            <w:pPr>
              <w:spacing w:line="240" w:lineRule="exact"/>
              <w:ind w:left="105"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r>
              <w:rPr>
                <w:rFonts w:hint="eastAsia"/>
                <w:b/>
                <w:sz w:val="21"/>
                <w:szCs w:val="21"/>
              </w:rPr>
              <w:t>（适用时）</w:t>
            </w:r>
          </w:p>
          <w:p>
            <w:pPr>
              <w:spacing w:line="240" w:lineRule="exact"/>
              <w:ind w:firstLine="105" w:firstLineChars="50"/>
              <w:rPr>
                <w:b/>
                <w:color w:val="000000" w:themeColor="text1"/>
                <w:sz w:val="21"/>
                <w:szCs w:val="21"/>
              </w:rPr>
            </w:pPr>
            <w:r>
              <w:rPr>
                <w:rFonts w:hint="eastAsia" w:ascii="宋体" w:hAnsi="宋体" w:cs="宋体"/>
                <w:color w:val="000000"/>
                <w:sz w:val="21"/>
                <w:szCs w:val="21"/>
              </w:rPr>
              <w:t>公司制定、发布了总体目标并分解到相关职能</w:t>
            </w:r>
            <w:r>
              <w:rPr>
                <w:rFonts w:hint="eastAsia" w:ascii="宋体" w:hAnsi="宋体" w:cs="宋体"/>
                <w:color w:val="auto"/>
                <w:sz w:val="21"/>
                <w:szCs w:val="21"/>
              </w:rPr>
              <w:t>部门和层次，规定了目标值、计算方法、责任部门、检查人、考核频次等。同时，质量目标得到沟通和监视评价，通过数据的汇总统计、描述性统计等方法对目标进行了测量，总体已达到或超过了规定的目标值。通过2021年1-2021年4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ind w:left="105" w:hanging="105" w:hangingChars="50"/>
              <w:rPr>
                <w:b/>
                <w:color w:val="auto"/>
                <w:sz w:val="21"/>
                <w:szCs w:val="21"/>
              </w:rPr>
            </w:pPr>
            <w:r>
              <w:rPr>
                <w:rFonts w:hint="eastAsia"/>
                <w:b/>
                <w:color w:val="auto"/>
                <w:sz w:val="21"/>
                <w:szCs w:val="21"/>
              </w:rPr>
              <w:t>2.顾客满意</w:t>
            </w:r>
          </w:p>
          <w:p>
            <w:pPr>
              <w:spacing w:line="240" w:lineRule="exact"/>
              <w:ind w:left="120" w:leftChars="50" w:firstLine="315" w:firstLineChars="150"/>
              <w:rPr>
                <w:b/>
                <w:color w:val="auto"/>
                <w:sz w:val="21"/>
                <w:szCs w:val="21"/>
              </w:rPr>
            </w:pPr>
            <w:r>
              <w:rPr>
                <w:rFonts w:hint="eastAsia" w:ascii="宋体" w:hAnsi="宋体" w:cs="宋体"/>
                <w:color w:val="auto"/>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2021年3月实施，满意度评价9</w:t>
            </w:r>
            <w:r>
              <w:rPr>
                <w:rFonts w:hint="eastAsia" w:ascii="宋体" w:hAnsi="宋体" w:cs="宋体"/>
                <w:color w:val="auto"/>
                <w:sz w:val="21"/>
                <w:szCs w:val="21"/>
                <w:lang w:val="en-US" w:eastAsia="zh-CN"/>
              </w:rPr>
              <w:t>6</w:t>
            </w:r>
            <w:r>
              <w:rPr>
                <w:rFonts w:hint="eastAsia" w:ascii="宋体" w:hAnsi="宋体" w:cs="宋体"/>
                <w:color w:val="auto"/>
                <w:sz w:val="21"/>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b/>
                <w:color w:val="auto"/>
                <w:sz w:val="21"/>
                <w:szCs w:val="21"/>
              </w:rPr>
            </w:pPr>
            <w:r>
              <w:rPr>
                <w:rFonts w:hint="eastAsia"/>
                <w:b/>
                <w:color w:val="auto"/>
                <w:sz w:val="21"/>
                <w:szCs w:val="21"/>
              </w:rPr>
              <w:t>3. 内审（包括内审策划审核方案中考虑拟审核的过程和区域的状况和重要性）</w:t>
            </w:r>
          </w:p>
          <w:p>
            <w:pPr>
              <w:spacing w:line="240" w:lineRule="exact"/>
              <w:rPr>
                <w:b/>
                <w:color w:val="auto"/>
                <w:sz w:val="21"/>
                <w:szCs w:val="21"/>
              </w:rPr>
            </w:pPr>
            <w:r>
              <w:rPr>
                <w:rFonts w:hint="eastAsia" w:ascii="宋体" w:hAnsi="宋体"/>
                <w:color w:val="auto"/>
                <w:sz w:val="21"/>
                <w:szCs w:val="21"/>
              </w:rPr>
              <w:t>建立有《内部审核控制程序》，规定了内审频次一年一次，内审时间：</w:t>
            </w:r>
            <w:r>
              <w:rPr>
                <w:rFonts w:hint="eastAsia" w:ascii="宋体" w:hAnsi="宋体" w:cs="宋体"/>
                <w:color w:val="auto"/>
                <w:sz w:val="21"/>
                <w:szCs w:val="21"/>
                <w:lang w:val="en-US" w:eastAsia="zh-CN"/>
              </w:rPr>
              <w:t>2021年4月8日</w:t>
            </w:r>
            <w:r>
              <w:rPr>
                <w:rFonts w:hint="eastAsia" w:ascii="宋体" w:hAnsi="宋体"/>
                <w:color w:val="auto"/>
                <w:sz w:val="21"/>
                <w:szCs w:val="21"/>
              </w:rPr>
              <w:t>，拟定了审核实施表，明确了内审范围，内审人员经培训合格上岗，能力满足要求，未出现审核本部门情况，《内审不符合项报告》1份，涉及综合部Q</w:t>
            </w:r>
            <w:r>
              <w:rPr>
                <w:rFonts w:hint="eastAsia" w:ascii="宋体" w:hAnsi="宋体"/>
                <w:color w:val="auto"/>
                <w:sz w:val="21"/>
                <w:szCs w:val="21"/>
                <w:lang w:val="en-US" w:eastAsia="zh-CN"/>
              </w:rPr>
              <w:t>8.4</w:t>
            </w:r>
            <w:r>
              <w:rPr>
                <w:rFonts w:hint="eastAsia" w:ascii="宋体" w:hAnsi="宋体"/>
                <w:color w:val="auto"/>
                <w:sz w:val="21"/>
                <w:szCs w:val="21"/>
              </w:rPr>
              <w:t>/ES</w:t>
            </w:r>
            <w:r>
              <w:rPr>
                <w:rFonts w:hint="eastAsia" w:ascii="宋体" w:hAnsi="宋体"/>
                <w:color w:val="auto"/>
                <w:sz w:val="21"/>
                <w:szCs w:val="21"/>
                <w:lang w:val="en-US" w:eastAsia="zh-CN"/>
              </w:rPr>
              <w:t>8.1</w:t>
            </w:r>
            <w:r>
              <w:rPr>
                <w:rFonts w:hint="eastAsia" w:ascii="宋体" w:hAnsi="宋体"/>
                <w:color w:val="auto"/>
                <w:sz w:val="21"/>
                <w:szCs w:val="21"/>
              </w:rPr>
              <w:t>条款。不符合事实描述“</w:t>
            </w:r>
            <w:r>
              <w:rPr>
                <w:rFonts w:hint="eastAsia" w:ascii="宋体" w:hAnsi="宋体" w:cs="宋体"/>
                <w:color w:val="auto"/>
                <w:sz w:val="21"/>
                <w:szCs w:val="21"/>
                <w:lang w:val="en-US" w:eastAsia="zh-CN"/>
              </w:rPr>
              <w:t>部门相关人员不能提供对供应商（绿联中汉正光专买店）进行评价的相关证据</w:t>
            </w:r>
            <w:r>
              <w:rPr>
                <w:rFonts w:hint="eastAsia" w:ascii="宋体" w:hAnsi="宋体"/>
                <w:color w:val="auto"/>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b/>
                <w:color w:val="auto"/>
                <w:sz w:val="21"/>
                <w:szCs w:val="21"/>
              </w:rPr>
            </w:pPr>
            <w:r>
              <w:rPr>
                <w:rFonts w:hint="eastAsia"/>
                <w:b/>
                <w:color w:val="auto"/>
                <w:sz w:val="21"/>
                <w:szCs w:val="21"/>
              </w:rPr>
              <w:t>4.管理评审（管理评审体系变更需求，纠正和预防措施、体系有效性等）</w:t>
            </w:r>
          </w:p>
          <w:p>
            <w:pPr>
              <w:spacing w:line="240" w:lineRule="exact"/>
              <w:rPr>
                <w:b/>
                <w:color w:val="auto"/>
                <w:sz w:val="21"/>
                <w:szCs w:val="21"/>
              </w:rPr>
            </w:pPr>
            <w:r>
              <w:rPr>
                <w:rFonts w:hint="eastAsia" w:ascii="宋体" w:hAnsi="宋体" w:cs="宋体"/>
                <w:color w:val="auto"/>
                <w:sz w:val="21"/>
                <w:szCs w:val="21"/>
              </w:rPr>
              <w:t>管理评审频次为一年一次、本次管理评审于</w:t>
            </w:r>
            <w:r>
              <w:rPr>
                <w:rFonts w:hint="eastAsia" w:ascii="宋体" w:hAnsi="宋体" w:cs="宋体"/>
                <w:color w:val="auto"/>
                <w:sz w:val="21"/>
                <w:szCs w:val="21"/>
                <w:lang w:val="en-US" w:eastAsia="zh-CN"/>
              </w:rPr>
              <w:t>2021年4月20日</w:t>
            </w:r>
            <w:r>
              <w:rPr>
                <w:rFonts w:hint="eastAsia" w:ascii="宋体" w:hAnsi="宋体" w:cs="宋体"/>
                <w:color w:val="auto"/>
                <w:sz w:val="2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ind w:firstLine="210" w:firstLineChars="100"/>
              <w:rPr>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b/>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240" w:lineRule="exact"/>
              <w:rPr>
                <w:b/>
                <w:color w:val="000000" w:themeColor="text1"/>
                <w:sz w:val="21"/>
                <w:szCs w:val="21"/>
              </w:rPr>
            </w:pPr>
            <w:r>
              <w:rPr>
                <w:rFonts w:hint="eastAsia"/>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b/>
                <w:sz w:val="21"/>
                <w:szCs w:val="21"/>
              </w:rPr>
            </w:pP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20" w:type="dxa"/>
            <w:vMerge w:val="continue"/>
            <w:vAlign w:val="center"/>
          </w:tcPr>
          <w:p>
            <w:pPr>
              <w:spacing w:line="240" w:lineRule="exact"/>
              <w:jc w:val="center"/>
              <w:rPr>
                <w:b/>
                <w:sz w:val="21"/>
                <w:szCs w:val="21"/>
              </w:rPr>
            </w:pPr>
          </w:p>
        </w:tc>
        <w:tc>
          <w:tcPr>
            <w:tcW w:w="9198" w:type="dxa"/>
          </w:tcPr>
          <w:p>
            <w:pPr>
              <w:widowControl/>
              <w:spacing w:line="240" w:lineRule="exact"/>
              <w:rPr>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b/>
                <w:sz w:val="21"/>
                <w:szCs w:val="21"/>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 w:val="21"/>
                <w:szCs w:val="21"/>
              </w:rPr>
            </w:pPr>
            <w:r>
              <w:rPr>
                <w:rFonts w:hint="eastAsia" w:ascii="宋体" w:hAnsi="宋体"/>
                <w:b/>
                <w:sz w:val="21"/>
                <w:szCs w:val="21"/>
              </w:rPr>
              <w:t>(五)持</w:t>
            </w:r>
          </w:p>
          <w:p>
            <w:pPr>
              <w:spacing w:line="240" w:lineRule="exact"/>
              <w:ind w:left="113" w:right="113"/>
              <w:jc w:val="center"/>
              <w:rPr>
                <w:rFonts w:ascii="宋体" w:hAnsi="宋体"/>
                <w:b/>
                <w:sz w:val="21"/>
                <w:szCs w:val="21"/>
              </w:rPr>
            </w:pPr>
            <w:r>
              <w:rPr>
                <w:rFonts w:hint="eastAsia" w:ascii="宋体" w:hAnsi="宋体"/>
                <w:b/>
                <w:sz w:val="21"/>
                <w:szCs w:val="21"/>
              </w:rPr>
              <w:t>续</w:t>
            </w:r>
          </w:p>
          <w:p>
            <w:pPr>
              <w:spacing w:line="240" w:lineRule="exact"/>
              <w:ind w:left="113" w:right="113"/>
              <w:jc w:val="center"/>
              <w:rPr>
                <w:rFonts w:ascii="宋体" w:hAnsi="宋体"/>
                <w:b/>
                <w:sz w:val="21"/>
                <w:szCs w:val="21"/>
              </w:rPr>
            </w:pPr>
            <w:r>
              <w:rPr>
                <w:rFonts w:hint="eastAsia" w:ascii="宋体" w:hAnsi="宋体"/>
                <w:b/>
                <w:sz w:val="21"/>
                <w:szCs w:val="21"/>
              </w:rPr>
              <w:t>改</w:t>
            </w:r>
          </w:p>
          <w:p>
            <w:pPr>
              <w:spacing w:line="240" w:lineRule="exact"/>
              <w:ind w:left="113" w:right="113"/>
              <w:jc w:val="center"/>
              <w:rPr>
                <w:b/>
                <w:sz w:val="21"/>
                <w:szCs w:val="21"/>
              </w:rPr>
            </w:pPr>
            <w:r>
              <w:rPr>
                <w:rFonts w:hint="eastAsia" w:ascii="宋体" w:hAnsi="宋体"/>
                <w:b/>
                <w:sz w:val="21"/>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3"/>
              </w:numPr>
              <w:spacing w:line="240" w:lineRule="exact"/>
              <w:rPr>
                <w:rFonts w:ascii="宋体" w:hAnsi="宋体"/>
                <w:b/>
                <w:sz w:val="21"/>
                <w:szCs w:val="21"/>
              </w:rPr>
            </w:pPr>
            <w:r>
              <w:rPr>
                <w:rFonts w:hint="eastAsia" w:ascii="宋体" w:hAnsi="宋体"/>
                <w:b/>
                <w:sz w:val="21"/>
                <w:szCs w:val="21"/>
              </w:rPr>
              <w:t>创新情况</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rPr>
              <w:br w:type="textWrapping"/>
            </w:r>
            <w:r>
              <w:rPr>
                <w:rFonts w:hint="eastAsia" w:ascii="宋体" w:hAnsi="宋体"/>
                <w:b/>
                <w:sz w:val="21"/>
                <w:szCs w:val="21"/>
              </w:rPr>
              <w:t>上</w:t>
            </w:r>
            <w:r>
              <w:rPr>
                <w:rFonts w:hint="eastAsia"/>
                <w:b/>
                <w:sz w:val="21"/>
                <w:szCs w:val="21"/>
              </w:rPr>
              <w:t>次</w:t>
            </w:r>
            <w:r>
              <w:rPr>
                <w:rFonts w:hint="eastAsia" w:ascii="宋体" w:hAnsi="宋体"/>
                <w:b/>
                <w:sz w:val="21"/>
                <w:szCs w:val="21"/>
              </w:rPr>
              <w:t>不符合为技术部Q7.1.5条款，经本次审核验证均整改且无类似不符合情况出现。</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可能影响本次审核结论可靠性的因素：无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color w:val="auto"/>
          <w:sz w:val="16"/>
          <w:szCs w:val="16"/>
        </w:rPr>
      </w:pPr>
      <w:r>
        <w:rPr>
          <w:rFonts w:hint="eastAsia"/>
          <w:b/>
          <w:sz w:val="26"/>
          <w:szCs w:val="26"/>
        </w:rPr>
        <w:t>八、本次审核不</w:t>
      </w:r>
      <w:r>
        <w:rPr>
          <w:rFonts w:hint="eastAsia"/>
          <w:b/>
          <w:color w:val="auto"/>
          <w:sz w:val="26"/>
          <w:szCs w:val="26"/>
        </w:rPr>
        <w:t>符合项</w:t>
      </w:r>
    </w:p>
    <w:p>
      <w:pPr>
        <w:spacing w:line="400" w:lineRule="exact"/>
        <w:ind w:left="420" w:leftChars="175" w:firstLine="101" w:firstLineChars="42"/>
        <w:rPr>
          <w:rFonts w:ascii="宋体" w:hAnsi="宋体"/>
          <w:b/>
          <w:color w:val="auto"/>
          <w:szCs w:val="21"/>
        </w:rPr>
      </w:pPr>
      <w:r>
        <w:rPr>
          <w:rFonts w:hint="eastAsia" w:ascii="宋体" w:hAnsi="宋体"/>
          <w:b/>
          <w:color w:val="auto"/>
          <w:szCs w:val="21"/>
        </w:rPr>
        <w:t>本次审核共开具不符合项报告1项；其中</w:t>
      </w:r>
      <w:r>
        <w:rPr>
          <w:rFonts w:ascii="宋体" w:hAnsi="宋体"/>
          <w:b/>
          <w:color w:val="auto"/>
          <w:szCs w:val="21"/>
        </w:rPr>
        <w:pict>
          <v:line id="直接连接符 1" o:spid="_x0000_s1030" o:spt="20" style="position:absolute;left:0pt;margin-left:210pt;margin-top:16.2pt;height:0pt;width:0.05pt;z-index:251666432;mso-width-relative:page;mso-height-relative:page;" coordsize="21600,21600" o:allowincell="f">
            <v:path arrowok="t"/>
            <v:fill focussize="0,0"/>
            <v:stroke/>
            <v:imagedata o:title=""/>
            <o:lock v:ext="edit"/>
          </v:line>
        </w:pict>
      </w:r>
      <w:r>
        <w:rPr>
          <w:rFonts w:hint="eastAsia" w:ascii="宋体" w:hAnsi="宋体"/>
          <w:b/>
          <w:color w:val="auto"/>
          <w:szCs w:val="21"/>
        </w:rPr>
        <w:t>严重不符合0项，一般不符合1项，观察项0项分布在综合部部门S9.1</w:t>
      </w:r>
      <w:bookmarkStart w:id="27" w:name="_GoBack"/>
      <w:bookmarkEnd w:id="27"/>
      <w:r>
        <w:rPr>
          <w:rFonts w:hint="eastAsia" w:ascii="宋体" w:hAnsi="宋体"/>
          <w:b/>
          <w:color w:val="auto"/>
          <w:szCs w:val="21"/>
        </w:rPr>
        <w:t>.</w:t>
      </w:r>
      <w:r>
        <w:rPr>
          <w:rFonts w:hint="eastAsia" w:ascii="宋体" w:hAnsi="宋体"/>
          <w:b/>
          <w:color w:val="auto"/>
          <w:szCs w:val="21"/>
          <w:lang w:val="en-US" w:eastAsia="zh-CN"/>
        </w:rPr>
        <w:t>1</w:t>
      </w:r>
      <w:r>
        <w:rPr>
          <w:rFonts w:hint="eastAsia" w:ascii="宋体" w:hAnsi="宋体"/>
          <w:b/>
          <w:color w:val="auto"/>
          <w:szCs w:val="21"/>
        </w:rPr>
        <w:t>条款，见不符合项分布表。（</w:t>
      </w:r>
      <w:r>
        <w:rPr>
          <w:rFonts w:ascii="宋体" w:hAnsi="宋体"/>
          <w:b/>
          <w:color w:val="auto"/>
          <w:szCs w:val="21"/>
        </w:rPr>
        <w:t>Q/J/E/S</w:t>
      </w:r>
      <w:r>
        <w:rPr>
          <w:rFonts w:hint="eastAsia" w:ascii="宋体" w:hAnsi="宋体"/>
          <w:b/>
          <w:color w:val="auto"/>
          <w:szCs w:val="21"/>
        </w:rPr>
        <w:t>分开填写）</w:t>
      </w:r>
    </w:p>
    <w:p>
      <w:pPr>
        <w:tabs>
          <w:tab w:val="left" w:pos="645"/>
        </w:tabs>
        <w:spacing w:afterLines="50" w:line="360" w:lineRule="exact"/>
        <w:rPr>
          <w:b/>
          <w:color w:val="auto"/>
          <w:sz w:val="16"/>
          <w:szCs w:val="16"/>
        </w:rPr>
      </w:pPr>
      <w:r>
        <w:rPr>
          <w:rFonts w:hint="eastAsia"/>
          <w:b/>
          <w:color w:val="auto"/>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8"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r>
              <w:rPr>
                <w:rFonts w:hint="eastAsia" w:ascii="宋体" w:hAnsi="宋体"/>
                <w:b/>
                <w:szCs w:val="21"/>
              </w:rPr>
              <w:t>换发证书</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rPr>
        <w:t>60</w:t>
      </w:r>
      <w:r>
        <w:rPr>
          <w:rFonts w:hint="eastAsia"/>
          <w:b/>
          <w:sz w:val="21"/>
        </w:rPr>
        <w:t>天针对不符合原因制定并实施纠正措施。验证方式见不符合项报告。</w:t>
      </w:r>
    </w:p>
    <w:p>
      <w:pPr>
        <w:spacing w:beforeLines="50"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ascii="宋体" w:hAnsi="宋体"/>
          <w:sz w:val="21"/>
          <w:szCs w:val="22"/>
        </w:rPr>
        <w:drawing>
          <wp:anchor distT="0" distB="0" distL="114300" distR="114300" simplePos="0" relativeHeight="251663360" behindDoc="0" locked="0" layoutInCell="1" allowOverlap="1">
            <wp:simplePos x="0" y="0"/>
            <wp:positionH relativeFrom="column">
              <wp:posOffset>1786890</wp:posOffset>
            </wp:positionH>
            <wp:positionV relativeFrom="paragraph">
              <wp:posOffset>237490</wp:posOffset>
            </wp:positionV>
            <wp:extent cx="411480" cy="381000"/>
            <wp:effectExtent l="0" t="0" r="7620" b="0"/>
            <wp:wrapNone/>
            <wp:docPr id="14"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45e69cce4380e02713697e955d1ffd9"/>
                    <pic:cNvPicPr>
                      <a:picLocks noChangeAspect="1"/>
                    </pic:cNvPicPr>
                  </pic:nvPicPr>
                  <pic:blipFill>
                    <a:blip r:embed="rId6" cstate="print"/>
                    <a:stretch>
                      <a:fillRect/>
                    </a:stretch>
                  </pic:blipFill>
                  <pic:spPr>
                    <a:xfrm>
                      <a:off x="0" y="0"/>
                      <a:ext cx="411480" cy="38100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9504" behindDoc="0" locked="0" layoutInCell="1" allowOverlap="1">
            <wp:simplePos x="0" y="0"/>
            <wp:positionH relativeFrom="column">
              <wp:posOffset>3044825</wp:posOffset>
            </wp:positionH>
            <wp:positionV relativeFrom="paragraph">
              <wp:posOffset>135890</wp:posOffset>
            </wp:positionV>
            <wp:extent cx="619760" cy="387985"/>
            <wp:effectExtent l="0" t="0" r="2540" b="4445"/>
            <wp:wrapNone/>
            <wp:docPr id="1" name="图片 1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图片2"/>
                    <pic:cNvPicPr>
                      <a:picLocks noChangeAspect="1"/>
                    </pic:cNvPicPr>
                  </pic:nvPicPr>
                  <pic:blipFill>
                    <a:blip r:embed="rId7"/>
                    <a:stretch>
                      <a:fillRect/>
                    </a:stretch>
                  </pic:blipFill>
                  <pic:spPr>
                    <a:xfrm>
                      <a:off x="0" y="0"/>
                      <a:ext cx="619760" cy="387985"/>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2235835</wp:posOffset>
            </wp:positionH>
            <wp:positionV relativeFrom="paragraph">
              <wp:posOffset>28575</wp:posOffset>
            </wp:positionV>
            <wp:extent cx="690880" cy="499110"/>
            <wp:effectExtent l="19050" t="0" r="0" b="0"/>
            <wp:wrapNone/>
            <wp:docPr id="15"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C:\Users\24309\AppData\Local\Temp\WeChat Files\5990baca09647c352f1321b31faa90a.jpg"/>
                    <pic:cNvPicPr>
                      <a:picLocks noChangeAspect="1"/>
                    </pic:cNvPicPr>
                  </pic:nvPicPr>
                  <pic:blipFill>
                    <a:blip r:embed="rId8" cstate="print"/>
                    <a:stretch>
                      <a:fillRect/>
                    </a:stretch>
                  </pic:blipFill>
                  <pic:spPr>
                    <a:xfrm>
                      <a:off x="0" y="0"/>
                      <a:ext cx="690880" cy="499110"/>
                    </a:xfrm>
                    <a:prstGeom prst="rect">
                      <a:avLst/>
                    </a:prstGeom>
                    <a:noFill/>
                    <a:ln>
                      <a:noFill/>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1731645</wp:posOffset>
            </wp:positionH>
            <wp:positionV relativeFrom="paragraph">
              <wp:posOffset>93345</wp:posOffset>
            </wp:positionV>
            <wp:extent cx="466090" cy="353060"/>
            <wp:effectExtent l="0" t="0" r="3810" b="2540"/>
            <wp:wrapNone/>
            <wp:docPr id="16"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C:\Users\Administrator\Desktop\签名.jpg"/>
                    <pic:cNvPicPr>
                      <a:picLocks noChangeAspect="1"/>
                    </pic:cNvPicPr>
                  </pic:nvPicPr>
                  <pic:blipFill>
                    <a:blip r:embed="rId9" cstate="print"/>
                    <a:stretch>
                      <a:fillRect/>
                    </a:stretch>
                  </pic:blipFill>
                  <pic:spPr>
                    <a:xfrm>
                      <a:off x="0" y="0"/>
                      <a:ext cx="466090" cy="35306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b/>
          <w:sz w:val="21"/>
        </w:rPr>
      </w:pPr>
      <w:r>
        <w:rPr>
          <w:rFonts w:hint="eastAsia"/>
          <w:b/>
          <w:sz w:val="21"/>
        </w:rPr>
        <w:t>日期：</w:t>
      </w:r>
      <w:r>
        <w:rPr>
          <w:rFonts w:hint="eastAsia"/>
          <w:color w:val="000000"/>
          <w:szCs w:val="21"/>
        </w:rPr>
        <w:t>2021年05月28日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color w:val="auto"/>
          <w:sz w:val="21"/>
          <w:szCs w:val="21"/>
        </w:rPr>
      </w:pPr>
      <w:r>
        <w:rPr>
          <w:b/>
          <w:bCs/>
          <w:sz w:val="21"/>
          <w:szCs w:val="21"/>
        </w:rPr>
        <w:t>1.</w:t>
      </w:r>
      <w:r>
        <w:rPr>
          <w:rFonts w:hint="eastAsia"/>
          <w:b/>
          <w:bCs/>
          <w:sz w:val="21"/>
          <w:szCs w:val="21"/>
        </w:rPr>
        <w:t>审核中发现</w:t>
      </w:r>
      <w:r>
        <w:rPr>
          <w:rFonts w:hint="eastAsia"/>
          <w:b/>
          <w:bCs/>
          <w:color w:val="auto"/>
          <w:sz w:val="21"/>
          <w:szCs w:val="21"/>
        </w:rPr>
        <w:t>的</w:t>
      </w:r>
      <w:r>
        <w:rPr>
          <w:rFonts w:hint="eastAsia"/>
          <w:b/>
          <w:color w:val="auto"/>
          <w:sz w:val="21"/>
          <w:szCs w:val="21"/>
        </w:rPr>
        <w:t>□</w:t>
      </w:r>
      <w:r>
        <w:rPr>
          <w:b/>
          <w:color w:val="auto"/>
          <w:sz w:val="21"/>
          <w:szCs w:val="21"/>
        </w:rPr>
        <w:t>QMS ()</w:t>
      </w:r>
      <w:r>
        <w:rPr>
          <w:rFonts w:hint="eastAsia"/>
          <w:b/>
          <w:color w:val="auto"/>
          <w:sz w:val="21"/>
          <w:szCs w:val="21"/>
        </w:rPr>
        <w:t>个一般不符合，</w:t>
      </w:r>
      <w:r>
        <w:rPr>
          <w:b/>
          <w:color w:val="auto"/>
          <w:sz w:val="21"/>
          <w:szCs w:val="21"/>
        </w:rPr>
        <w:t>()</w:t>
      </w:r>
      <w:r>
        <w:rPr>
          <w:rFonts w:hint="eastAsia"/>
          <w:b/>
          <w:color w:val="auto"/>
          <w:sz w:val="21"/>
          <w:szCs w:val="21"/>
        </w:rPr>
        <w:t>个严重不符合，□验证合格□仍有问题</w:t>
      </w:r>
    </w:p>
    <w:p>
      <w:pPr>
        <w:spacing w:line="360" w:lineRule="exact"/>
        <w:ind w:firstLine="843" w:firstLineChars="400"/>
        <w:rPr>
          <w:b/>
          <w:bCs/>
          <w:color w:val="auto"/>
          <w:sz w:val="21"/>
          <w:szCs w:val="21"/>
        </w:rPr>
      </w:pPr>
      <w:r>
        <w:rPr>
          <w:rFonts w:hint="eastAsia"/>
          <w:b/>
          <w:bCs/>
          <w:color w:val="auto"/>
          <w:sz w:val="21"/>
          <w:szCs w:val="21"/>
        </w:rPr>
        <w:t>审核中发现的□50430 (    )个一般不符合，(    )个严重不符合，□验证合格□仍有问题</w:t>
      </w:r>
    </w:p>
    <w:p>
      <w:pPr>
        <w:spacing w:line="360" w:lineRule="exact"/>
        <w:ind w:firstLine="843" w:firstLineChars="400"/>
        <w:rPr>
          <w:b/>
          <w:color w:val="auto"/>
          <w:sz w:val="21"/>
          <w:szCs w:val="21"/>
        </w:rPr>
      </w:pPr>
      <w:r>
        <w:rPr>
          <w:rFonts w:hint="eastAsia"/>
          <w:b/>
          <w:bCs/>
          <w:color w:val="auto"/>
          <w:sz w:val="21"/>
          <w:szCs w:val="21"/>
        </w:rPr>
        <w:t>审核中发现的</w:t>
      </w:r>
      <w:r>
        <w:rPr>
          <w:rFonts w:hint="eastAsia"/>
          <w:b/>
          <w:color w:val="auto"/>
          <w:sz w:val="21"/>
          <w:szCs w:val="21"/>
        </w:rPr>
        <w:sym w:font="Wingdings 2" w:char="00A3"/>
      </w:r>
      <w:r>
        <w:rPr>
          <w:b/>
          <w:color w:val="auto"/>
          <w:sz w:val="21"/>
          <w:szCs w:val="21"/>
        </w:rPr>
        <w:t>EMS (</w:t>
      </w:r>
      <w:r>
        <w:rPr>
          <w:rFonts w:hint="eastAsia"/>
          <w:b/>
          <w:color w:val="auto"/>
          <w:sz w:val="21"/>
          <w:szCs w:val="21"/>
        </w:rPr>
        <w:t xml:space="preserve">   </w:t>
      </w:r>
      <w:r>
        <w:rPr>
          <w:b/>
          <w:color w:val="auto"/>
          <w:sz w:val="21"/>
          <w:szCs w:val="21"/>
        </w:rPr>
        <w:t>)</w:t>
      </w:r>
      <w:r>
        <w:rPr>
          <w:rFonts w:hint="eastAsia"/>
          <w:b/>
          <w:color w:val="auto"/>
          <w:sz w:val="21"/>
          <w:szCs w:val="21"/>
        </w:rPr>
        <w:t>个一般不符合，</w:t>
      </w:r>
      <w:r>
        <w:rPr>
          <w:b/>
          <w:color w:val="auto"/>
          <w:sz w:val="21"/>
          <w:szCs w:val="21"/>
        </w:rPr>
        <w:t>(</w:t>
      </w:r>
      <w:r>
        <w:rPr>
          <w:rFonts w:hint="eastAsia"/>
          <w:b/>
          <w:color w:val="auto"/>
          <w:sz w:val="21"/>
          <w:szCs w:val="21"/>
        </w:rPr>
        <w:t xml:space="preserve">  </w:t>
      </w:r>
      <w:r>
        <w:rPr>
          <w:b/>
          <w:color w:val="auto"/>
          <w:sz w:val="21"/>
          <w:szCs w:val="21"/>
        </w:rPr>
        <w:t xml:space="preserve"> )</w:t>
      </w:r>
      <w:r>
        <w:rPr>
          <w:rFonts w:hint="eastAsia"/>
          <w:b/>
          <w:color w:val="auto"/>
          <w:sz w:val="21"/>
          <w:szCs w:val="21"/>
        </w:rPr>
        <w:t>个严重不符合，</w:t>
      </w:r>
      <w:r>
        <w:rPr>
          <w:rFonts w:hint="eastAsia"/>
          <w:b/>
          <w:color w:val="auto"/>
          <w:sz w:val="21"/>
          <w:szCs w:val="21"/>
        </w:rPr>
        <w:sym w:font="Wingdings 2" w:char="00A3"/>
      </w:r>
      <w:r>
        <w:rPr>
          <w:rFonts w:hint="eastAsia"/>
          <w:b/>
          <w:color w:val="auto"/>
          <w:sz w:val="21"/>
          <w:szCs w:val="21"/>
        </w:rPr>
        <w:t>验证合格□仍有问题</w:t>
      </w:r>
    </w:p>
    <w:p>
      <w:pPr>
        <w:spacing w:line="360" w:lineRule="exact"/>
        <w:ind w:firstLine="843" w:firstLineChars="400"/>
        <w:rPr>
          <w:b/>
          <w:color w:val="auto"/>
          <w:sz w:val="21"/>
          <w:szCs w:val="21"/>
        </w:rPr>
      </w:pPr>
      <w:r>
        <w:rPr>
          <w:rFonts w:hint="eastAsia"/>
          <w:b/>
          <w:bCs/>
          <w:color w:val="auto"/>
          <w:sz w:val="21"/>
          <w:szCs w:val="21"/>
        </w:rPr>
        <w:t>审核中发现的</w:t>
      </w:r>
      <w:r>
        <w:rPr>
          <w:rFonts w:hint="eastAsia"/>
          <w:b/>
          <w:color w:val="auto"/>
          <w:sz w:val="21"/>
          <w:szCs w:val="21"/>
        </w:rPr>
        <w:sym w:font="Wingdings 2" w:char="0052"/>
      </w:r>
      <w:r>
        <w:rPr>
          <w:b/>
          <w:color w:val="auto"/>
          <w:sz w:val="21"/>
          <w:szCs w:val="21"/>
        </w:rPr>
        <w:t xml:space="preserve">OHSMS ( </w:t>
      </w:r>
      <w:r>
        <w:rPr>
          <w:rFonts w:hint="eastAsia"/>
          <w:b/>
          <w:color w:val="auto"/>
          <w:sz w:val="21"/>
          <w:szCs w:val="21"/>
        </w:rPr>
        <w:t>1</w:t>
      </w:r>
      <w:r>
        <w:rPr>
          <w:b/>
          <w:color w:val="auto"/>
          <w:sz w:val="21"/>
          <w:szCs w:val="21"/>
        </w:rPr>
        <w:t xml:space="preserve">  )</w:t>
      </w:r>
      <w:r>
        <w:rPr>
          <w:rFonts w:hint="eastAsia"/>
          <w:b/>
          <w:color w:val="auto"/>
          <w:sz w:val="21"/>
          <w:szCs w:val="21"/>
        </w:rPr>
        <w:t>个一般不符合，</w:t>
      </w:r>
      <w:r>
        <w:rPr>
          <w:b/>
          <w:color w:val="auto"/>
          <w:sz w:val="21"/>
          <w:szCs w:val="21"/>
        </w:rPr>
        <w:t xml:space="preserve">( </w:t>
      </w:r>
      <w:r>
        <w:rPr>
          <w:rFonts w:hint="eastAsia"/>
          <w:b/>
          <w:color w:val="auto"/>
          <w:sz w:val="21"/>
          <w:szCs w:val="21"/>
        </w:rPr>
        <w:t>0</w:t>
      </w:r>
      <w:r>
        <w:rPr>
          <w:b/>
          <w:color w:val="auto"/>
          <w:sz w:val="21"/>
          <w:szCs w:val="21"/>
        </w:rPr>
        <w:t xml:space="preserve">  )</w:t>
      </w:r>
      <w:r>
        <w:rPr>
          <w:rFonts w:hint="eastAsia"/>
          <w:b/>
          <w:color w:val="auto"/>
          <w:sz w:val="21"/>
          <w:szCs w:val="21"/>
        </w:rPr>
        <w:t>个严重不符合，</w:t>
      </w:r>
      <w:r>
        <w:rPr>
          <w:rFonts w:hint="eastAsia"/>
          <w:b/>
          <w:color w:val="auto"/>
          <w:sz w:val="21"/>
          <w:szCs w:val="21"/>
        </w:rPr>
        <w:sym w:font="Wingdings 2" w:char="0052"/>
      </w:r>
      <w:r>
        <w:rPr>
          <w:rFonts w:hint="eastAsia"/>
          <w:b/>
          <w:color w:val="auto"/>
          <w:sz w:val="21"/>
          <w:szCs w:val="21"/>
        </w:rPr>
        <w:t>验证合格□仍有问题</w:t>
      </w:r>
      <w:r>
        <w:rPr>
          <w:rFonts w:hint="eastAsia"/>
          <w:b/>
          <w:bCs/>
          <w:color w:val="auto"/>
          <w:sz w:val="21"/>
          <w:szCs w:val="21"/>
        </w:rPr>
        <w:t>审</w:t>
      </w:r>
    </w:p>
    <w:p>
      <w:pPr>
        <w:spacing w:beforeLines="50" w:line="400" w:lineRule="exact"/>
        <w:rPr>
          <w:b/>
          <w:color w:val="auto"/>
          <w:sz w:val="21"/>
          <w:szCs w:val="21"/>
          <w:u w:val="single"/>
        </w:rPr>
      </w:pPr>
      <w:r>
        <w:rPr>
          <w:rFonts w:hint="eastAsia"/>
          <w:b/>
          <w:color w:val="auto"/>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20" w:firstLineChars="343"/>
        <w:rPr>
          <w:b/>
          <w:sz w:val="21"/>
          <w:szCs w:val="21"/>
          <w:u w:val="single"/>
        </w:rPr>
      </w:pPr>
      <w:r>
        <w:rPr>
          <w:rFonts w:hint="eastAsia" w:ascii="宋体" w:hAnsi="宋体"/>
          <w:sz w:val="21"/>
          <w:szCs w:val="22"/>
        </w:rPr>
        <w:drawing>
          <wp:anchor distT="0" distB="0" distL="114300" distR="114300" simplePos="0" relativeHeight="251665408" behindDoc="0" locked="0" layoutInCell="1" allowOverlap="1">
            <wp:simplePos x="0" y="0"/>
            <wp:positionH relativeFrom="column">
              <wp:posOffset>1233805</wp:posOffset>
            </wp:positionH>
            <wp:positionV relativeFrom="paragraph">
              <wp:posOffset>14605</wp:posOffset>
            </wp:positionV>
            <wp:extent cx="356235" cy="329565"/>
            <wp:effectExtent l="0" t="0" r="12065" b="635"/>
            <wp:wrapNone/>
            <wp:docPr id="17"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45e69cce4380e02713697e955d1ffd9"/>
                    <pic:cNvPicPr>
                      <a:picLocks noChangeAspect="1"/>
                    </pic:cNvPicPr>
                  </pic:nvPicPr>
                  <pic:blipFill>
                    <a:blip r:embed="rId6" cstate="print"/>
                    <a:stretch>
                      <a:fillRect/>
                    </a:stretch>
                  </pic:blipFill>
                  <pic:spPr>
                    <a:xfrm>
                      <a:off x="0" y="0"/>
                      <a:ext cx="356235" cy="329565"/>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Lines="50"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pPr>
        <w:tabs>
          <w:tab w:val="left" w:pos="645"/>
        </w:tabs>
        <w:spacing w:afterLines="50" w:line="360" w:lineRule="exact"/>
      </w:pP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61312;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F11CB4"/>
    <w:multiLevelType w:val="singleLevel"/>
    <w:tmpl w:val="9EF11CB4"/>
    <w:lvl w:ilvl="0" w:tentative="0">
      <w:start w:val="3"/>
      <w:numFmt w:val="decimal"/>
      <w:suff w:val="space"/>
      <w:lvlText w:val="%1."/>
      <w:lvlJc w:val="left"/>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A2D25"/>
    <w:rsid w:val="00282CDF"/>
    <w:rsid w:val="002A2D25"/>
    <w:rsid w:val="00395E14"/>
    <w:rsid w:val="003D001E"/>
    <w:rsid w:val="007E355D"/>
    <w:rsid w:val="0085134B"/>
    <w:rsid w:val="00962201"/>
    <w:rsid w:val="00A51471"/>
    <w:rsid w:val="00B94F26"/>
    <w:rsid w:val="00C11651"/>
    <w:rsid w:val="0CDF469C"/>
    <w:rsid w:val="590E1E93"/>
    <w:rsid w:val="750059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7"/>
        <o:r id="V:Rule2" type="connector" idref="#_x0000_s103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locked/>
    <w:uiPriority w:val="99"/>
    <w:rPr>
      <w:rFonts w:ascii="Times New Roman" w:hAnsi="Times New Roman" w:eastAsia="宋体" w:cs="Times New Roman"/>
      <w:sz w:val="18"/>
      <w:szCs w:val="18"/>
    </w:rPr>
  </w:style>
  <w:style w:type="character" w:customStyle="1" w:styleId="10">
    <w:name w:val="页眉 Char"/>
    <w:link w:val="4"/>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8"/>
    <customShpInfo spid="_x0000_s1037"/>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1324</Words>
  <Characters>7552</Characters>
  <Lines>62</Lines>
  <Paragraphs>17</Paragraphs>
  <TotalTime>4</TotalTime>
  <ScaleCrop>false</ScaleCrop>
  <LinksUpToDate>false</LinksUpToDate>
  <CharactersWithSpaces>8859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2021-05-28T05:56:20Z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