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四川国锐工程设计有限公司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 w:colFirst="3" w:colLast="3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：工程设计过程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工程设计过程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风险：顾客投诉。控制措施：设计和服务提供的管理程序。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触电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建筑设计防火规范</w:t>
            </w:r>
            <w:r>
              <w:rPr>
                <w:rFonts w:hint="eastAsia"/>
                <w:b/>
                <w:sz w:val="20"/>
                <w:lang w:eastAsia="zh-CN"/>
              </w:rPr>
              <w:t>》GB 50016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2014、《建筑物防雷设计规范》GB 50057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2010、《室外给水设计规范》GB 50013-2006、《室外排水设计规范》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"http://www.csres.com/detail/122184.html" \t "http://www.csres.com/_blank"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GB 5001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-2006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99695</wp:posOffset>
            </wp:positionV>
            <wp:extent cx="323850" cy="335280"/>
            <wp:effectExtent l="0" t="0" r="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120015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E32B1"/>
    <w:rsid w:val="0CDD17C2"/>
    <w:rsid w:val="2E2C7206"/>
    <w:rsid w:val="52920DDC"/>
    <w:rsid w:val="56FC47BF"/>
    <w:rsid w:val="672027A8"/>
    <w:rsid w:val="73EF7465"/>
    <w:rsid w:val="78D37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2021-05-27T02:15:48Z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4AB9B76D18AB4BD6AACAAC4A89FB5A36</vt:lpwstr>
  </property>
</Properties>
</file>