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四川国锐工程设计有限公司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Q:34.01.02</w:t>
            </w:r>
          </w:p>
          <w:p>
            <w:pPr>
              <w:spacing w:line="240" w:lineRule="exact"/>
              <w:jc w:val="center"/>
              <w:rPr>
                <w:b/>
                <w:color w:val="000000"/>
                <w:sz w:val="20"/>
                <w:szCs w:val="20"/>
              </w:rPr>
            </w:pPr>
            <w:r>
              <w:rPr>
                <w:b/>
                <w:color w:val="000000"/>
                <w:sz w:val="20"/>
                <w:szCs w:val="20"/>
              </w:rPr>
              <w:t>E:34.01.02</w:t>
            </w:r>
          </w:p>
          <w:p>
            <w:pPr>
              <w:spacing w:line="240" w:lineRule="exact"/>
              <w:jc w:val="center"/>
              <w:rPr>
                <w:b/>
                <w:color w:val="000000"/>
                <w:sz w:val="20"/>
                <w:szCs w:val="20"/>
              </w:rPr>
            </w:pPr>
            <w:r>
              <w:rPr>
                <w:b/>
                <w:color w:val="000000"/>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四川国锐工程设计有限公司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四川省成都市天府新区华阳街道协和下街588号14栋1单元10楼1006号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610213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四川省成都市高新区盛和一路88号康普雷斯A座805</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610021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李强英</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13547883768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彭力宇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李强英</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Q：资质等级许可范围内的市政行业、石油天然气行业的工程咨询、设计</w:t>
            </w:r>
          </w:p>
          <w:p>
            <w:pPr>
              <w:spacing w:line="400" w:lineRule="exact"/>
              <w:rPr>
                <w:rFonts w:ascii="宋体" w:hAnsi="宋体"/>
                <w:b/>
                <w:color w:val="000000"/>
                <w:sz w:val="20"/>
                <w:szCs w:val="20"/>
              </w:rPr>
            </w:pPr>
            <w:r>
              <w:rPr>
                <w:rFonts w:ascii="宋体" w:hAnsi="宋体"/>
                <w:b/>
                <w:color w:val="000000"/>
                <w:sz w:val="20"/>
                <w:szCs w:val="20"/>
              </w:rPr>
              <w:t>E：资质等级许可范围内的市政行业、石油天然气行业的工程咨询、设计所涉及场所的相关环境管理活动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O：资质等级许可范围内的市政行业、石油天然气行业的工程咨询、设计所涉及场所的相关职业健康安全管理活动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Q：34.01.02</w:t>
            </w:r>
          </w:p>
          <w:p>
            <w:pPr>
              <w:spacing w:line="280" w:lineRule="exact"/>
              <w:rPr>
                <w:rFonts w:ascii="宋体"/>
                <w:b/>
                <w:color w:val="000000"/>
                <w:sz w:val="20"/>
                <w:szCs w:val="20"/>
              </w:rPr>
            </w:pPr>
            <w:r>
              <w:rPr>
                <w:rFonts w:ascii="宋体"/>
                <w:b/>
                <w:color w:val="000000"/>
                <w:sz w:val="20"/>
                <w:szCs w:val="20"/>
              </w:rPr>
              <w:t>E：34.01.02</w:t>
            </w:r>
          </w:p>
          <w:p>
            <w:pPr>
              <w:spacing w:line="280" w:lineRule="exact"/>
              <w:rPr>
                <w:rFonts w:ascii="宋体"/>
                <w:b/>
                <w:color w:val="000000"/>
                <w:sz w:val="20"/>
                <w:szCs w:val="20"/>
              </w:rPr>
            </w:pPr>
            <w:r>
              <w:rPr>
                <w:rFonts w:ascii="宋体"/>
                <w:b/>
                <w:color w:val="000000"/>
                <w:sz w:val="20"/>
                <w:szCs w:val="20"/>
              </w:rPr>
              <w:t>O：34.01.02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综合管理部、设计技术部、市场部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四川省成都市高新区盛和一路88号康普雷斯A座805</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bookmarkStart w:id="24" w:name="_GoBack"/>
            <w:bookmarkEnd w:id="24"/>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服务：资质等级许可范围内的市政行业、石油天然气行业的工程咨询、设计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综合管理部、设计技术部、市场部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设计技术部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受审核方位于：四川省成都市高新区盛和一路88号康普雷斯A座805</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其他资质：工程设计资质证书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产品技术标准号：《建筑设计防火规范》GB 50016-2014、《建筑物防雷设计规范》GB 50057-2010、《室外给水设计规范》GB 50013-2006、《室外排水设计规范》GB 50014-2006、《石油化工企业设计防火规范》GB 50160-2008、《石油天然气工程设计防火规范》GB 50183-2015、《工业金属管道工程施工规范》GB 50235-2010、《输气管道工程设计规范》GB 50251-2015、《输油管道工程设计规范》GB 50253-2014、《工业设备及管道绝热工程设计规范》GB 50316-2000、《油田油气集输设计规范》GB 50350-2015、《给水排水制图标准》GB/T 50106-2010、《民用建筑供暖通风与空气调节设计规范》GB50736-2012等</w:t>
            </w:r>
            <w:r>
              <w:rPr>
                <w:rFonts w:hint="eastAsia" w:ascii="宋体" w:hAnsi="宋体"/>
                <w:color w:val="000000"/>
                <w:spacing w:val="-10"/>
                <w:sz w:val="20"/>
                <w:szCs w:val="20"/>
                <w:lang w:eastAsia="zh-CN"/>
              </w:rPr>
              <w:t>。</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sz w:val="20"/>
                <w:szCs w:val="20"/>
              </w:rPr>
              <w:t>《</w:t>
            </w:r>
            <w:r>
              <w:rPr>
                <w:rFonts w:hint="eastAsia" w:ascii="宋体"/>
                <w:sz w:val="20"/>
                <w:szCs w:val="20"/>
              </w:rPr>
              <w:t>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rPr>
                <w:rFonts w:hint="eastAsia"/>
                <w:b/>
                <w:sz w:val="20"/>
              </w:rPr>
            </w:pPr>
            <w:r>
              <w:rPr>
                <w:rFonts w:hint="eastAsia"/>
                <w:b/>
                <w:sz w:val="20"/>
              </w:rPr>
              <w:t>设计：</w:t>
            </w:r>
          </w:p>
          <w:p>
            <w:pPr>
              <w:snapToGrid w:val="0"/>
              <w:spacing w:line="280" w:lineRule="exact"/>
              <w:rPr>
                <w:rFonts w:hint="eastAsia"/>
                <w:b/>
                <w:sz w:val="20"/>
              </w:rPr>
            </w:pPr>
            <w:r>
              <w:rPr>
                <w:rFonts w:hint="eastAsia"/>
                <w:b/>
                <w:sz w:val="20"/>
              </w:rPr>
              <w:t>委托书或中标通知书——项目前期技术交流——专业设计——施工图及评审——图纸修改——专家评审——根据评审意见修改图纸——提交施工图——资料归档——现场技术服务</w:t>
            </w:r>
          </w:p>
          <w:p>
            <w:pPr>
              <w:snapToGrid w:val="0"/>
              <w:spacing w:line="280" w:lineRule="exact"/>
              <w:rPr>
                <w:rFonts w:hint="eastAsia"/>
                <w:b/>
                <w:sz w:val="20"/>
              </w:rPr>
            </w:pPr>
          </w:p>
          <w:p>
            <w:pPr>
              <w:snapToGrid w:val="0"/>
              <w:spacing w:line="280" w:lineRule="exact"/>
              <w:rPr>
                <w:rFonts w:hint="eastAsia"/>
                <w:b/>
                <w:sz w:val="20"/>
              </w:rPr>
            </w:pPr>
            <w:r>
              <w:rPr>
                <w:rFonts w:hint="eastAsia"/>
                <w:b/>
                <w:sz w:val="20"/>
              </w:rPr>
              <w:t>咨询：</w:t>
            </w:r>
          </w:p>
          <w:p>
            <w:pPr>
              <w:rPr>
                <w:rFonts w:hint="eastAsia"/>
                <w:b/>
                <w:sz w:val="20"/>
              </w:rPr>
            </w:pPr>
            <w:r>
              <w:rPr>
                <w:rFonts w:hint="eastAsia"/>
                <w:b/>
                <w:sz w:val="20"/>
              </w:rPr>
              <w:t>委托书或中标通知书——项目前期技术交流——专业咨询——项目可行性研究报告、项目建议书、项目申请报告等编制——专家评审——报告修改上报——资料归档</w:t>
            </w:r>
          </w:p>
          <w:p>
            <w:pPr>
              <w:rPr>
                <w:rFonts w:hint="eastAsia" w:eastAsia="宋体"/>
                <w:b/>
                <w:sz w:val="20"/>
                <w:lang w:eastAsia="zh-CN"/>
              </w:rPr>
            </w:pPr>
            <w:r>
              <w:rPr>
                <w:rFonts w:hint="eastAsia"/>
                <w:b/>
                <w:sz w:val="20"/>
                <w:lang w:eastAsia="zh-CN"/>
              </w:rPr>
              <w:t>设计过程为关键过程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sz w:val="20"/>
                <w:szCs w:val="20"/>
              </w:rPr>
              <w:t>设计</w:t>
            </w:r>
            <w:r>
              <w:rPr>
                <w:rFonts w:hint="eastAsia" w:ascii="宋体" w:hAnsi="宋体"/>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针对关键过程建立的控制文件有：设计和服务提供的管理程序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sz w:val="20"/>
                <w:szCs w:val="20"/>
              </w:rPr>
              <w:t>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sz w:val="20"/>
                <w:szCs w:val="20"/>
              </w:rPr>
              <w:t>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sz w:val="20"/>
                <w:szCs w:val="20"/>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sz w:val="20"/>
                <w:szCs w:val="20"/>
              </w:rPr>
              <w:t>有（1）环境因素识别与评价程序；（2）运行控制程序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sz w:val="20"/>
                <w:szCs w:val="20"/>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sz w:val="20"/>
                <w:szCs w:val="20"/>
              </w:rPr>
              <w:t>有（1）危险源识别与评价程序；（2）运行控制程序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43</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综合管理部、设计技术部、市场部</w:t>
            </w:r>
          </w:p>
          <w:p>
            <w:pPr>
              <w:spacing w:line="360" w:lineRule="auto"/>
              <w:rPr>
                <w:rFonts w:ascii="宋体"/>
                <w:b/>
                <w:color w:val="000000"/>
                <w:sz w:val="20"/>
                <w:szCs w:val="20"/>
              </w:rPr>
            </w:pPr>
            <w:r>
              <w:rPr>
                <w:rFonts w:hint="eastAsia" w:ascii="宋体" w:hAnsi="宋体"/>
                <w:b/>
                <w:color w:val="000000"/>
                <w:sz w:val="20"/>
                <w:szCs w:val="20"/>
              </w:rPr>
              <w:t>重点审核过程：部供应产品和服务的控制、顾客满意；产品和服务放行、不合格产品和服务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重点审核场所：办公场所、设计场所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综合管理部、设计技术部、市场部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sz w:val="20"/>
                <w:szCs w:val="20"/>
              </w:rPr>
              <w:t>办公场所、设计场所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综合管理部、设计技术部、市场部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sz w:val="20"/>
                <w:szCs w:val="20"/>
              </w:rPr>
              <w:t>办公场所、设计场所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建立有《内部审核程序》，于20</w:t>
            </w:r>
            <w:r>
              <w:rPr>
                <w:rFonts w:hint="eastAsia"/>
                <w:szCs w:val="21"/>
                <w:lang w:val="en-US" w:eastAsia="zh-CN"/>
              </w:rPr>
              <w:t>20</w:t>
            </w:r>
            <w:r>
              <w:rPr>
                <w:rFonts w:hint="eastAsia"/>
                <w:szCs w:val="21"/>
              </w:rPr>
              <w:t>年</w:t>
            </w:r>
            <w:r>
              <w:rPr>
                <w:rFonts w:hint="eastAsia"/>
                <w:szCs w:val="21"/>
                <w:lang w:val="en-US" w:eastAsia="zh-CN"/>
              </w:rPr>
              <w:t>10</w:t>
            </w:r>
            <w:r>
              <w:rPr>
                <w:rFonts w:hint="eastAsia"/>
                <w:szCs w:val="21"/>
              </w:rPr>
              <w:t>月1</w:t>
            </w:r>
            <w:r>
              <w:rPr>
                <w:rFonts w:hint="eastAsia"/>
                <w:szCs w:val="21"/>
                <w:lang w:val="en-US" w:eastAsia="zh-CN"/>
              </w:rPr>
              <w:t>5</w:t>
            </w:r>
            <w:r>
              <w:rPr>
                <w:rFonts w:hint="eastAsia"/>
                <w:szCs w:val="21"/>
              </w:rPr>
              <w:t>日进行了内部审核。</w:t>
            </w:r>
          </w:p>
          <w:p>
            <w:pPr>
              <w:spacing w:line="260" w:lineRule="exact"/>
              <w:rPr>
                <w:rFonts w:ascii="宋体"/>
                <w:b/>
                <w:color w:val="000000"/>
                <w:sz w:val="20"/>
                <w:szCs w:val="20"/>
              </w:rPr>
            </w:pPr>
            <w:r>
              <w:rPr>
                <w:rFonts w:hint="eastAsia"/>
                <w:szCs w:val="21"/>
              </w:rPr>
              <w:t>内部审核组由：组长A：李强英 组员B：陈安金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hint="default" w:ascii="宋体" w:hAnsi="宋体"/>
                <w:b/>
                <w:color w:val="000000"/>
                <w:sz w:val="20"/>
                <w:szCs w:val="20"/>
                <w:lang w:val="en-US" w:eastAsia="zh-CN"/>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rPr>
              <w:t xml:space="preserve">GB/T </w:t>
            </w:r>
            <w:r>
              <w:rPr>
                <w:rFonts w:hint="eastAsia" w:ascii="宋体" w:hAnsi="宋体"/>
                <w:lang w:val="en-US" w:eastAsia="zh-CN"/>
              </w:rPr>
              <w:t>45</w:t>
            </w:r>
            <w:r>
              <w:rPr>
                <w:rFonts w:hint="eastAsia" w:ascii="宋体" w:hAnsi="宋体"/>
              </w:rPr>
              <w:t>001-20</w:t>
            </w:r>
            <w:r>
              <w:rPr>
                <w:rFonts w:hint="eastAsia" w:ascii="宋体" w:hAnsi="宋体"/>
                <w:lang w:val="en-US" w:eastAsia="zh-CN"/>
              </w:rPr>
              <w:t>20</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 xml:space="preserve">   </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40" w:lineRule="auto"/>
              <w:rPr>
                <w:rFonts w:hint="default" w:ascii="宋体" w:hAnsi="宋体"/>
                <w:b/>
                <w:color w:val="000000"/>
                <w:sz w:val="20"/>
                <w:szCs w:val="20"/>
                <w:lang w:val="en-US" w:eastAsia="zh-CN"/>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eastAsia="zh-CN"/>
              </w:rPr>
              <w:t>是</w:t>
            </w:r>
            <w:r>
              <w:rPr>
                <w:rFonts w:ascii="宋体" w:hAnsi="宋体"/>
                <w:b/>
                <w:color w:val="000000"/>
                <w:sz w:val="20"/>
                <w:szCs w:val="20"/>
              </w:rPr>
              <w:t xml:space="preserve"> </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hint="eastAsia" w:ascii="宋体" w:hAnsi="宋体"/>
          <w:b/>
          <w:color w:val="000000"/>
          <w:sz w:val="20"/>
          <w:szCs w:val="20"/>
          <w:u w:val="single"/>
        </w:rPr>
        <w:t>资质等级许可范围内的市政行业、石油天然气行业的工程咨询、设计</w:t>
      </w:r>
      <w:r>
        <w:rPr>
          <w:rFonts w:ascii="宋体" w:hAnsi="宋体"/>
          <w:b/>
          <w:color w:val="000000"/>
          <w:sz w:val="20"/>
          <w:szCs w:val="20"/>
        </w:rPr>
        <w:t>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ascii="宋体" w:hAnsi="宋体"/>
          <w:b/>
          <w:color w:val="000000"/>
          <w:sz w:val="20"/>
          <w:szCs w:val="20"/>
          <w:u w:val="single"/>
        </w:rPr>
        <w:t>资质等级许可范围内的市政行业、石油天然气行业的工程咨询、设计所涉及场所的相关环境管理活动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hint="eastAsia" w:ascii="宋体" w:hAnsi="宋体"/>
          <w:b/>
          <w:color w:val="000000"/>
          <w:sz w:val="20"/>
          <w:szCs w:val="20"/>
          <w:u w:val="single"/>
        </w:rPr>
        <w:t>资质等级许可范围内的市政行业、石油天然气行业的工程咨询、设计所涉及场所的相关职业健康安全管理活动</w:t>
      </w:r>
      <w:r>
        <w:rPr>
          <w:rFonts w:ascii="宋体" w:hAnsi="宋体"/>
          <w:b/>
          <w:color w:val="000000"/>
          <w:sz w:val="20"/>
          <w:szCs w:val="20"/>
          <w:u w:val="single"/>
        </w:rPr>
        <w:t>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1779270</wp:posOffset>
            </wp:positionH>
            <wp:positionV relativeFrom="paragraph">
              <wp:posOffset>266700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sz w:val="22"/>
          <w:szCs w:val="22"/>
        </w:rPr>
        <w:drawing>
          <wp:anchor distT="0" distB="0" distL="114300" distR="114300" simplePos="0" relativeHeight="251663360" behindDoc="0" locked="0" layoutInCell="1" allowOverlap="1">
            <wp:simplePos x="0" y="0"/>
            <wp:positionH relativeFrom="column">
              <wp:posOffset>2597785</wp:posOffset>
            </wp:positionH>
            <wp:positionV relativeFrom="paragraph">
              <wp:posOffset>46355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1830705</wp:posOffset>
            </wp:positionH>
            <wp:positionV relativeFrom="paragraph">
              <wp:posOffset>27305</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8"/>
                    <a:srcRect l="19829" t="27682" r="28673" b="20988"/>
                    <a:stretch>
                      <a:fillRect/>
                    </a:stretch>
                  </pic:blipFill>
                  <pic:spPr>
                    <a:xfrm>
                      <a:off x="0" y="0"/>
                      <a:ext cx="632460" cy="31305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2021.05.23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受审核方：四川国锐工程设计有限公司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582930</wp:posOffset>
                  </wp:positionH>
                  <wp:positionV relativeFrom="paragraph">
                    <wp:posOffset>167005</wp:posOffset>
                  </wp:positionV>
                  <wp:extent cx="323850" cy="335280"/>
                  <wp:effectExtent l="0" t="0" r="0" b="762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591185</wp:posOffset>
                  </wp:positionH>
                  <wp:positionV relativeFrom="paragraph">
                    <wp:posOffset>36830</wp:posOffset>
                  </wp:positionV>
                  <wp:extent cx="323850" cy="335280"/>
                  <wp:effectExtent l="0" t="0" r="0" b="7620"/>
                  <wp:wrapNone/>
                  <wp:docPr id="3" name="图片 3"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720AE"/>
    <w:rsid w:val="03D97C36"/>
    <w:rsid w:val="04661DC8"/>
    <w:rsid w:val="06A8023A"/>
    <w:rsid w:val="07E9159E"/>
    <w:rsid w:val="09DC6357"/>
    <w:rsid w:val="0C7C371E"/>
    <w:rsid w:val="0F471A9C"/>
    <w:rsid w:val="102A6A06"/>
    <w:rsid w:val="10614A05"/>
    <w:rsid w:val="129C26EF"/>
    <w:rsid w:val="12CA621F"/>
    <w:rsid w:val="14603705"/>
    <w:rsid w:val="14D84CF1"/>
    <w:rsid w:val="173819C5"/>
    <w:rsid w:val="17435127"/>
    <w:rsid w:val="17D809C4"/>
    <w:rsid w:val="18223CB2"/>
    <w:rsid w:val="189259FD"/>
    <w:rsid w:val="1BCE1CE9"/>
    <w:rsid w:val="1D9A791B"/>
    <w:rsid w:val="1DCF1A98"/>
    <w:rsid w:val="1E041FD2"/>
    <w:rsid w:val="1E3D7894"/>
    <w:rsid w:val="1EF944BB"/>
    <w:rsid w:val="250A07FE"/>
    <w:rsid w:val="26003D63"/>
    <w:rsid w:val="27F455ED"/>
    <w:rsid w:val="29E12D92"/>
    <w:rsid w:val="29F6182A"/>
    <w:rsid w:val="2BE6475B"/>
    <w:rsid w:val="2C144407"/>
    <w:rsid w:val="2C3A4715"/>
    <w:rsid w:val="2C640425"/>
    <w:rsid w:val="2E237B5C"/>
    <w:rsid w:val="2EF76E93"/>
    <w:rsid w:val="2F3A7C4E"/>
    <w:rsid w:val="309325D2"/>
    <w:rsid w:val="316F5417"/>
    <w:rsid w:val="32A2199F"/>
    <w:rsid w:val="32EE4F8B"/>
    <w:rsid w:val="3331181A"/>
    <w:rsid w:val="333D33F3"/>
    <w:rsid w:val="33D41152"/>
    <w:rsid w:val="33DE40DB"/>
    <w:rsid w:val="33EE4A70"/>
    <w:rsid w:val="340A40D8"/>
    <w:rsid w:val="34A53946"/>
    <w:rsid w:val="355F5BAF"/>
    <w:rsid w:val="35B612C1"/>
    <w:rsid w:val="37AD4EB0"/>
    <w:rsid w:val="380A7442"/>
    <w:rsid w:val="38577247"/>
    <w:rsid w:val="38E35C8D"/>
    <w:rsid w:val="3A8355E7"/>
    <w:rsid w:val="3B14514B"/>
    <w:rsid w:val="3C044451"/>
    <w:rsid w:val="3C070A40"/>
    <w:rsid w:val="3C4D103E"/>
    <w:rsid w:val="3E107804"/>
    <w:rsid w:val="3F254720"/>
    <w:rsid w:val="40142AD5"/>
    <w:rsid w:val="4225702B"/>
    <w:rsid w:val="425930F9"/>
    <w:rsid w:val="43951D31"/>
    <w:rsid w:val="4496057B"/>
    <w:rsid w:val="44CF0702"/>
    <w:rsid w:val="4527582D"/>
    <w:rsid w:val="461C13D9"/>
    <w:rsid w:val="473B6C9E"/>
    <w:rsid w:val="47ED12CB"/>
    <w:rsid w:val="480E318B"/>
    <w:rsid w:val="49215327"/>
    <w:rsid w:val="495114AF"/>
    <w:rsid w:val="4A6D14F4"/>
    <w:rsid w:val="4B247C15"/>
    <w:rsid w:val="4BF46BE7"/>
    <w:rsid w:val="4C3556C9"/>
    <w:rsid w:val="4CF3538A"/>
    <w:rsid w:val="4D8003AF"/>
    <w:rsid w:val="4D857186"/>
    <w:rsid w:val="4E367CE4"/>
    <w:rsid w:val="4E3A166E"/>
    <w:rsid w:val="529B2194"/>
    <w:rsid w:val="52B16EEF"/>
    <w:rsid w:val="52BE20C3"/>
    <w:rsid w:val="54B17CC9"/>
    <w:rsid w:val="54F5620B"/>
    <w:rsid w:val="55CF6624"/>
    <w:rsid w:val="567C7085"/>
    <w:rsid w:val="5A905FCA"/>
    <w:rsid w:val="5D56343B"/>
    <w:rsid w:val="5D822C13"/>
    <w:rsid w:val="5EB927DA"/>
    <w:rsid w:val="5EC3595B"/>
    <w:rsid w:val="61991713"/>
    <w:rsid w:val="6292416F"/>
    <w:rsid w:val="63CC2BD6"/>
    <w:rsid w:val="64044177"/>
    <w:rsid w:val="654571CB"/>
    <w:rsid w:val="67DA4526"/>
    <w:rsid w:val="69730DE4"/>
    <w:rsid w:val="69A0642B"/>
    <w:rsid w:val="69B7744E"/>
    <w:rsid w:val="6AE73133"/>
    <w:rsid w:val="6B1440E0"/>
    <w:rsid w:val="6BD61686"/>
    <w:rsid w:val="6C347C4D"/>
    <w:rsid w:val="6DC13798"/>
    <w:rsid w:val="6E501A99"/>
    <w:rsid w:val="6FBC3F32"/>
    <w:rsid w:val="6FFE05FD"/>
    <w:rsid w:val="71CD697F"/>
    <w:rsid w:val="758D2FF0"/>
    <w:rsid w:val="7679362F"/>
    <w:rsid w:val="76A92C8A"/>
    <w:rsid w:val="76C12AFD"/>
    <w:rsid w:val="77191BFB"/>
    <w:rsid w:val="784B24BB"/>
    <w:rsid w:val="78D45FA9"/>
    <w:rsid w:val="79A643E4"/>
    <w:rsid w:val="7A274C6A"/>
    <w:rsid w:val="7C2B6982"/>
    <w:rsid w:val="7CA401F4"/>
    <w:rsid w:val="7CFC6376"/>
    <w:rsid w:val="7D6B66E1"/>
    <w:rsid w:val="7D76696B"/>
    <w:rsid w:val="7DE23609"/>
    <w:rsid w:val="7EB27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陈伟</cp:lastModifiedBy>
  <dcterms:modified xsi:type="dcterms:W3CDTF">2021-05-26T09:11:09Z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09C2FD447B3A4409A2ED31B05234A8C2</vt:lpwstr>
  </property>
</Properties>
</file>