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湖北源弘再生资源有限公司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E:16.02.03</w:t>
            </w:r>
          </w:p>
          <w:p>
            <w:pPr>
              <w:spacing w:line="240" w:lineRule="exact"/>
              <w:jc w:val="center"/>
              <w:rPr>
                <w:b/>
                <w:color w:val="000000" w:themeColor="text1"/>
                <w:sz w:val="20"/>
                <w:szCs w:val="20"/>
              </w:rPr>
            </w:pPr>
            <w:r>
              <w:rPr>
                <w:b/>
                <w:color w:val="000000" w:themeColor="text1"/>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湖北源弘再生资源有限公司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湖北省鄂州市葛店开发区光谷联合科技城C1-1栋11楼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426032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803" w:firstLineChars="400"/>
              <w:rPr>
                <w:rFonts w:ascii="宋体" w:hAnsi="宋体"/>
                <w:b/>
                <w:color w:val="000000" w:themeColor="text1"/>
                <w:sz w:val="20"/>
                <w:szCs w:val="20"/>
              </w:rPr>
            </w:pPr>
            <w:bookmarkStart w:id="9" w:name="办公地址"/>
            <w:r>
              <w:rPr>
                <w:rFonts w:ascii="宋体" w:hAnsi="宋体"/>
                <w:b/>
                <w:color w:val="000000" w:themeColor="text1"/>
                <w:sz w:val="20"/>
                <w:szCs w:val="20"/>
              </w:rPr>
              <w:t>湖北省鄂州市华容区葛店镇张铁路万家湾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426032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15827646936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E：预拌混凝土的生产所涉及场所的相关环境管理活动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O：预拌混凝土的生产所涉及场所的相关职业健康安全管理活动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E：16.02.03</w:t>
            </w:r>
          </w:p>
          <w:p>
            <w:pPr>
              <w:spacing w:line="320" w:lineRule="exact"/>
              <w:rPr>
                <w:rFonts w:ascii="宋体" w:hAnsi="宋体"/>
                <w:b/>
                <w:color w:val="000000" w:themeColor="text1"/>
                <w:sz w:val="20"/>
                <w:szCs w:val="20"/>
              </w:rPr>
            </w:pPr>
            <w:r>
              <w:rPr>
                <w:rFonts w:ascii="宋体" w:hAnsi="宋体"/>
                <w:b/>
                <w:color w:val="000000" w:themeColor="text1"/>
                <w:sz w:val="20"/>
                <w:szCs w:val="20"/>
              </w:rPr>
              <w:t>O：16.02.03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体系运行、内审、管理评审、整改、考核、合规评价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生产部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生产过程环境和安全控制、设备设施运行、危险源、环境因素识别评价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供销部</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采购、销售过程环境和安全控制、顾客相关告之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实验室</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原材料、生产过程、产品的检验、测量设备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265" w:firstLineChars="600"/>
              <w:rPr>
                <w:rFonts w:ascii="宋体" w:hAnsi="宋体"/>
                <w:b/>
                <w:color w:val="000000" w:themeColor="text1"/>
                <w:szCs w:val="21"/>
              </w:rPr>
            </w:pPr>
            <w:r>
              <w:rPr>
                <w:rFonts w:hint="eastAsia" w:ascii="宋体" w:hAnsi="宋体"/>
                <w:b/>
                <w:color w:val="000000" w:themeColor="text1"/>
                <w:szCs w:val="21"/>
                <w:lang w:val="en-US" w:eastAsia="zh-CN"/>
              </w:rPr>
              <w:t>财务部</w:t>
            </w:r>
          </w:p>
        </w:tc>
        <w:tc>
          <w:tcPr>
            <w:tcW w:w="6804" w:type="dxa"/>
            <w:vAlign w:val="top"/>
          </w:tcPr>
          <w:p>
            <w:pPr>
              <w:rPr>
                <w:rFonts w:ascii="宋体" w:hAnsi="宋体"/>
                <w:b/>
                <w:color w:val="000000" w:themeColor="text1"/>
                <w:spacing w:val="-20"/>
                <w:szCs w:val="21"/>
                <w:u w:val="single"/>
              </w:rPr>
            </w:pPr>
            <w:r>
              <w:rPr>
                <w:rFonts w:hint="eastAsia" w:ascii="宋体" w:hAnsi="宋体"/>
                <w:b/>
                <w:color w:val="000000" w:themeColor="text1"/>
                <w:spacing w:val="-20"/>
                <w:szCs w:val="21"/>
                <w:u w:val="single"/>
                <w:lang w:val="en-US" w:eastAsia="zh-CN"/>
              </w:rPr>
              <w:t xml:space="preserve">                            提供环境、职业健康安全资金支持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Cs w:val="21"/>
                <w:lang w:val="en-US" w:eastAsia="zh-CN"/>
              </w:rPr>
            </w:pPr>
            <w:r>
              <w:rPr>
                <w:rFonts w:hint="eastAsia" w:ascii="宋体" w:hAnsi="宋体"/>
                <w:b/>
                <w:color w:val="000000" w:themeColor="text1"/>
                <w:szCs w:val="21"/>
                <w:lang w:val="en-US" w:eastAsia="zh-CN"/>
              </w:rPr>
              <w:t>车队</w:t>
            </w:r>
          </w:p>
        </w:tc>
        <w:tc>
          <w:tcPr>
            <w:tcW w:w="6804" w:type="dxa"/>
            <w:vAlign w:val="top"/>
          </w:tcPr>
          <w:p>
            <w:pPr>
              <w:jc w:val="center"/>
              <w:rPr>
                <w:rFonts w:ascii="宋体" w:hAnsi="宋体"/>
                <w:b/>
                <w:color w:val="000000" w:themeColor="text1"/>
                <w:spacing w:val="-20"/>
                <w:szCs w:val="21"/>
                <w:u w:val="single"/>
              </w:rPr>
            </w:pPr>
            <w:r>
              <w:rPr>
                <w:rFonts w:hint="eastAsia" w:ascii="宋体" w:hAnsi="宋体"/>
                <w:b/>
                <w:color w:val="000000" w:themeColor="text1"/>
                <w:spacing w:val="-20"/>
                <w:sz w:val="20"/>
                <w:szCs w:val="20"/>
                <w:u w:val="single"/>
                <w:lang w:val="en-US" w:eastAsia="zh-CN"/>
              </w:rPr>
              <w:t>装卸运输过程环境和安全控制、设备设施运行、危险源、环境因素识别评价</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567"/>
        <w:gridCol w:w="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567" w:type="dxa"/>
          </w:tcPr>
          <w:p>
            <w:pPr>
              <w:rPr>
                <w:b/>
                <w:color w:val="000000" w:themeColor="text1"/>
                <w:sz w:val="20"/>
                <w:szCs w:val="20"/>
              </w:rPr>
            </w:pPr>
            <w:r>
              <w:rPr>
                <w:rFonts w:hint="eastAsia"/>
                <w:b/>
                <w:color w:val="000000" w:themeColor="text1"/>
                <w:sz w:val="20"/>
                <w:szCs w:val="20"/>
              </w:rPr>
              <w:t>规格</w:t>
            </w:r>
          </w:p>
        </w:tc>
        <w:tc>
          <w:tcPr>
            <w:tcW w:w="381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预拌混凝土的生产所</w:t>
            </w:r>
          </w:p>
        </w:tc>
        <w:tc>
          <w:tcPr>
            <w:tcW w:w="2519" w:type="dxa"/>
          </w:tcPr>
          <w:p>
            <w:pPr>
              <w:rPr>
                <w:b/>
                <w:color w:val="000000" w:themeColor="text1"/>
                <w:sz w:val="20"/>
                <w:szCs w:val="20"/>
              </w:rPr>
            </w:pPr>
          </w:p>
        </w:tc>
        <w:tc>
          <w:tcPr>
            <w:tcW w:w="1567" w:type="dxa"/>
          </w:tcPr>
          <w:p>
            <w:pPr>
              <w:rPr>
                <w:b/>
                <w:color w:val="000000" w:themeColor="text1"/>
                <w:sz w:val="20"/>
                <w:szCs w:val="20"/>
              </w:rPr>
            </w:pPr>
          </w:p>
        </w:tc>
        <w:tc>
          <w:tcPr>
            <w:tcW w:w="3819" w:type="dxa"/>
          </w:tcPr>
          <w:p>
            <w:pPr>
              <w:rPr>
                <w:b/>
                <w:color w:val="000000" w:themeColor="text1"/>
                <w:sz w:val="20"/>
                <w:szCs w:val="20"/>
              </w:rPr>
            </w:pP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567" w:type="dxa"/>
          </w:tcPr>
          <w:p>
            <w:pPr>
              <w:rPr>
                <w:b/>
                <w:color w:val="000000" w:themeColor="text1"/>
                <w:sz w:val="20"/>
                <w:szCs w:val="20"/>
              </w:rPr>
            </w:pPr>
          </w:p>
        </w:tc>
        <w:tc>
          <w:tcPr>
            <w:tcW w:w="38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567" w:type="dxa"/>
          </w:tcPr>
          <w:p>
            <w:pPr>
              <w:rPr>
                <w:b/>
                <w:color w:val="000000" w:themeColor="text1"/>
                <w:sz w:val="20"/>
                <w:szCs w:val="20"/>
              </w:rPr>
            </w:pPr>
          </w:p>
        </w:tc>
        <w:tc>
          <w:tcPr>
            <w:tcW w:w="38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567" w:type="dxa"/>
          </w:tcPr>
          <w:p>
            <w:pPr>
              <w:rPr>
                <w:b/>
                <w:color w:val="000000" w:themeColor="text1"/>
                <w:sz w:val="20"/>
                <w:szCs w:val="20"/>
              </w:rPr>
            </w:pPr>
          </w:p>
        </w:tc>
        <w:tc>
          <w:tcPr>
            <w:tcW w:w="381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16</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湖</w:t>
            </w:r>
            <w:r>
              <w:rPr>
                <w:rFonts w:hint="eastAsia" w:ascii="宋体" w:hAnsi="宋体" w:eastAsia="宋体" w:cs="宋体"/>
                <w:sz w:val="21"/>
                <w:szCs w:val="21"/>
              </w:rPr>
              <w:t>北源弘再生资源有限公司成立于2019年11月，目前公司注册在湖北省葛店经济技术开发区，办公地点位于葛店张铁工业园区内。注册资金15000万元，公司主营项目为商品混凝土、商品砂浆生产及销售。</w:t>
            </w:r>
            <w:r>
              <w:rPr>
                <w:rFonts w:hint="eastAsia" w:ascii="宋体" w:hAnsi="宋体" w:eastAsia="宋体" w:cs="宋体"/>
                <w:sz w:val="21"/>
                <w:szCs w:val="21"/>
                <w:lang w:val="en-US" w:eastAsia="zh-CN"/>
              </w:rPr>
              <w:t>公司现有职员81人。</w:t>
            </w:r>
            <w:r>
              <w:rPr>
                <w:rFonts w:hint="eastAsia" w:ascii="宋体" w:hAnsi="宋体" w:eastAsia="宋体" w:cs="宋体"/>
                <w:sz w:val="21"/>
                <w:szCs w:val="21"/>
              </w:rPr>
              <w:t>公司是一座工艺先进、布置优化的绿色智能顶级商砼环保站点，符合国家绿色产业政策和发展战略。并率先通过了ISO90001:2015质量管理体系、项目环保验收、安全生产标准化等证书。</w:t>
            </w:r>
          </w:p>
          <w:p>
            <w:pPr>
              <w:ind w:firstLine="420" w:firstLineChars="200"/>
              <w:rPr>
                <w:rFonts w:hint="default" w:ascii="宋体" w:hAnsi="宋体" w:eastAsia="宋体" w:cs="宋体"/>
                <w:sz w:val="24"/>
                <w:szCs w:val="24"/>
                <w:lang w:val="en-US" w:eastAsia="zh-CN"/>
              </w:rPr>
            </w:pPr>
            <w:r>
              <w:rPr>
                <w:rFonts w:hint="eastAsia" w:ascii="宋体" w:hAnsi="宋体" w:eastAsia="宋体" w:cs="宋体"/>
                <w:sz w:val="21"/>
                <w:szCs w:val="21"/>
              </w:rPr>
              <w:t>公司有效年产能达200万立方，公司生产线为三一300B型5方机，日生产量可达14000立方， 拥有罐车50余辆、汽车泵6台（37m-62m）、车载泵5台。目前主要合作单位为：武汉市政建设集团、武汉市水务建设工程有限公司、中冶南方工程技术有限公司、民族建设集团、武汉中生建工集团、重庆万泰建设集团、振发建设集团有限公司、浙江中天建设集团、第十一科技开发研究院、武汉博业工贸有限公司等等。</w:t>
            </w:r>
            <w:r>
              <w:rPr>
                <w:rFonts w:hint="eastAsia" w:ascii="宋体" w:hAnsi="宋体" w:cs="宋体"/>
                <w:sz w:val="21"/>
                <w:szCs w:val="21"/>
                <w:lang w:val="en-US" w:eastAsia="zh-CN"/>
              </w:rPr>
              <w:t>企业现有人数为81人。</w:t>
            </w:r>
          </w:p>
          <w:p>
            <w:pPr>
              <w:spacing w:line="24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rPr>
                <w:b/>
                <w:color w:val="000000"/>
                <w:sz w:val="20"/>
                <w:szCs w:val="20"/>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物资营销</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ind w:firstLine="400" w:firstLineChars="200"/>
              <w:jc w:val="both"/>
              <w:rPr>
                <w:rStyle w:val="13"/>
                <w:rFonts w:hint="eastAsia" w:ascii="宋体" w:hAnsi="宋体" w:eastAsia="宋体" w:cs="宋体"/>
                <w:b w:val="0"/>
                <w:bCs/>
                <w:color w:val="000000"/>
                <w:sz w:val="21"/>
                <w:szCs w:val="21"/>
              </w:rPr>
            </w:pPr>
            <w:r>
              <w:rPr>
                <w:rFonts w:hint="eastAsia" w:ascii="宋体" w:hAnsi="宋体" w:cs="宋体"/>
                <w:sz w:val="20"/>
                <w:szCs w:val="20"/>
              </w:rPr>
              <w:t>公司的管理方针是：</w:t>
            </w:r>
            <w:r>
              <w:rPr>
                <w:rStyle w:val="13"/>
                <w:rFonts w:hint="eastAsia" w:ascii="宋体" w:hAnsi="宋体" w:eastAsia="宋体" w:cs="宋体"/>
                <w:b w:val="0"/>
                <w:bCs/>
                <w:color w:val="000000"/>
                <w:sz w:val="21"/>
                <w:szCs w:val="21"/>
              </w:rPr>
              <w:t>技术领航，顾客满意；节能降耗，保护环境；</w:t>
            </w:r>
          </w:p>
          <w:p>
            <w:pPr>
              <w:spacing w:line="440" w:lineRule="exact"/>
              <w:ind w:firstLine="2100" w:firstLineChars="1000"/>
              <w:rPr>
                <w:rFonts w:hint="eastAsia" w:ascii="宋体" w:hAnsi="宋体" w:eastAsia="宋体" w:cs="宋体"/>
                <w:b w:val="0"/>
                <w:bCs/>
                <w:spacing w:val="20"/>
                <w:sz w:val="21"/>
                <w:szCs w:val="21"/>
                <w:lang w:val="en-US" w:eastAsia="zh-CN"/>
              </w:rPr>
            </w:pPr>
            <w:r>
              <w:rPr>
                <w:rStyle w:val="13"/>
                <w:rFonts w:hint="eastAsia" w:ascii="宋体" w:hAnsi="宋体" w:eastAsia="宋体" w:cs="宋体"/>
                <w:b w:val="0"/>
                <w:bCs/>
                <w:color w:val="000000"/>
                <w:sz w:val="21"/>
                <w:szCs w:val="21"/>
              </w:rPr>
              <w:t>健康安全，诚信守法；规范管理，持续改进</w:t>
            </w:r>
            <w:r>
              <w:rPr>
                <w:rStyle w:val="13"/>
                <w:rFonts w:hint="eastAsia" w:ascii="宋体" w:hAnsi="宋体" w:eastAsia="宋体" w:cs="宋体"/>
                <w:b w:val="0"/>
                <w:bCs/>
                <w:color w:val="000000"/>
                <w:sz w:val="21"/>
                <w:szCs w:val="21"/>
                <w:lang w:eastAsia="zh-CN"/>
              </w:rPr>
              <w:t>。</w:t>
            </w:r>
          </w:p>
          <w:p>
            <w:pPr>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ind w:firstLine="400" w:firstLineChars="200"/>
              <w:rPr>
                <w:rFonts w:ascii="宋体" w:cs="宋体"/>
                <w:sz w:val="20"/>
                <w:szCs w:val="20"/>
              </w:rPr>
            </w:pPr>
            <w:r>
              <w:rPr>
                <w:rFonts w:hint="eastAsia" w:ascii="宋体" w:hAnsi="宋体" w:cs="宋体"/>
                <w:sz w:val="20"/>
                <w:szCs w:val="20"/>
              </w:rPr>
              <w:t>如环境保护要求日益严格，对水、气、声、渣需严格控制，确保达标排放。</w:t>
            </w:r>
          </w:p>
          <w:p>
            <w:pPr>
              <w:ind w:firstLine="400" w:firstLineChars="200"/>
              <w:rPr>
                <w:rFonts w:ascii="宋体" w:cs="宋体"/>
                <w:sz w:val="20"/>
                <w:szCs w:val="20"/>
              </w:rPr>
            </w:pPr>
            <w:r>
              <w:rPr>
                <w:rFonts w:hint="eastAsia" w:ascii="宋体" w:hAnsi="宋体" w:cs="宋体"/>
                <w:sz w:val="20"/>
                <w:szCs w:val="20"/>
              </w:rPr>
              <w:t>采取措施是：废水收集不外排，进入沉滤池沉滤后循环使用。</w:t>
            </w:r>
          </w:p>
          <w:p>
            <w:pPr>
              <w:ind w:firstLine="400" w:firstLineChars="200"/>
              <w:rPr>
                <w:rFonts w:ascii="宋体" w:cs="宋体"/>
                <w:sz w:val="20"/>
                <w:szCs w:val="20"/>
              </w:rPr>
            </w:pPr>
            <w:r>
              <w:rPr>
                <w:rFonts w:hint="eastAsia" w:ascii="宋体" w:cs="宋体"/>
                <w:sz w:val="20"/>
                <w:szCs w:val="20"/>
              </w:rPr>
              <w:t>噪声、废气能够达标，无需采取措施。</w:t>
            </w:r>
          </w:p>
          <w:p>
            <w:pPr>
              <w:ind w:firstLine="400" w:firstLineChars="200"/>
              <w:rPr>
                <w:rFonts w:ascii="宋体" w:cs="宋体"/>
                <w:sz w:val="20"/>
                <w:szCs w:val="20"/>
              </w:rPr>
            </w:pPr>
            <w:r>
              <w:rPr>
                <w:rFonts w:hint="eastAsia" w:ascii="宋体" w:cs="宋体"/>
                <w:sz w:val="20"/>
                <w:szCs w:val="20"/>
              </w:rPr>
              <w:t>固体废弃物分类摆放，由公司统一处理。</w:t>
            </w:r>
          </w:p>
          <w:p>
            <w:pPr>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25165926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查到《环境因素识别评价表》：已识别生产部（包括车队）的环境因素产生过程包括：原材料进场、砂石上料、混凝土搅拌、设备、空压机、混凝土运输、设备维修、办公用车的使用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w:t>
            </w:r>
            <w:r>
              <w:rPr>
                <w:rFonts w:hint="eastAsia" w:asciiTheme="minorEastAsia" w:hAnsiTheme="minorEastAsia" w:eastAsiaTheme="minorEastAsia" w:cstheme="minorEastAsia"/>
                <w:bCs/>
                <w:szCs w:val="21"/>
                <w:lang w:val="en-US" w:eastAsia="zh-CN"/>
              </w:rPr>
              <w:t>许家桥</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张辉</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10</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lang w:val="en-US" w:eastAsia="zh-CN"/>
              </w:rPr>
              <w:t>16</w:t>
            </w:r>
            <w:r>
              <w:rPr>
                <w:rFonts w:hint="eastAsia" w:asciiTheme="minorEastAsia" w:hAnsiTheme="minorEastAsia" w:eastAsiaTheme="minorEastAsia" w:cstheme="minorEastAsia"/>
                <w:bCs/>
                <w:szCs w:val="21"/>
              </w:rPr>
              <w:t xml:space="preserve">日 </w:t>
            </w:r>
          </w:p>
          <w:p>
            <w:pPr>
              <w:spacing w:beforeLines="50" w:line="240" w:lineRule="auto"/>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40" w:lineRule="auto"/>
              <w:rPr>
                <w:b/>
                <w:color w:val="000000"/>
                <w:sz w:val="20"/>
                <w:szCs w:val="20"/>
              </w:rPr>
            </w:pPr>
            <w:r>
              <w:rPr>
                <w:rFonts w:hint="eastAsia" w:asciiTheme="minorEastAsia" w:hAnsiTheme="minorEastAsia" w:eastAsiaTheme="minorEastAsia" w:cstheme="minorEastAsia"/>
                <w:bCs/>
                <w:szCs w:val="21"/>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运输伤亡、</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240" w:lineRule="auto"/>
              <w:rPr>
                <w:b/>
                <w:color w:val="000000"/>
                <w:sz w:val="20"/>
                <w:szCs w:val="20"/>
              </w:rPr>
            </w:pPr>
            <w:r>
              <w:rPr>
                <w:rFonts w:hint="eastAsia" w:asciiTheme="minorEastAsia" w:hAnsiTheme="minorEastAsia" w:eastAsiaTheme="minorEastAsia" w:cstheme="minorEastAsia"/>
                <w:bCs/>
                <w:szCs w:val="21"/>
              </w:rPr>
              <w:t xml:space="preserve">评价人： </w:t>
            </w:r>
            <w:r>
              <w:rPr>
                <w:rFonts w:hint="eastAsia" w:asciiTheme="minorEastAsia" w:hAnsiTheme="minorEastAsia" w:eastAsiaTheme="minorEastAsia" w:cstheme="minorEastAsia"/>
                <w:bCs/>
                <w:szCs w:val="21"/>
                <w:lang w:val="en-US" w:eastAsia="zh-CN"/>
              </w:rPr>
              <w:t>许家桥</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张辉</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10</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lang w:val="en-US" w:eastAsia="zh-CN"/>
              </w:rPr>
              <w:t>16</w:t>
            </w:r>
            <w:r>
              <w:rPr>
                <w:rFonts w:hint="eastAsia" w:asciiTheme="minorEastAsia" w:hAnsiTheme="minorEastAsia" w:eastAsiaTheme="minorEastAsia" w:cstheme="minorEastAsia"/>
                <w:bCs/>
                <w:szCs w:val="21"/>
              </w:rPr>
              <w:t>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24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240" w:lineRule="auto"/>
              <w:ind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公司环境目标：</w:t>
            </w:r>
          </w:p>
          <w:p>
            <w:pPr>
              <w:widowControl/>
              <w:autoSpaceDE w:val="0"/>
              <w:autoSpaceDN w:val="0"/>
              <w:adjustRightInd w:val="0"/>
              <w:spacing w:before="76" w:line="240" w:lineRule="auto"/>
              <w:ind w:firstLine="210" w:firstLineChars="10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 xml:space="preserve"> 生产中噪声、粉尘达标排放；</w:t>
            </w:r>
          </w:p>
          <w:p>
            <w:pPr>
              <w:widowControl/>
              <w:autoSpaceDE w:val="0"/>
              <w:autoSpaceDN w:val="0"/>
              <w:adjustRightInd w:val="0"/>
              <w:spacing w:before="110" w:line="240" w:lineRule="auto"/>
              <w:ind w:firstLine="105" w:firstLineChars="5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公司职业健康安全目标：</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1 劳动保护用品及时发放，发放率为100％ 。</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2 预防职业病，病发率为零。</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3安全事故零发生。</w:t>
            </w:r>
          </w:p>
          <w:p>
            <w:pPr>
              <w:spacing w:line="360" w:lineRule="auto"/>
              <w:ind w:firstLine="420" w:firstLineChars="200"/>
              <w:rPr>
                <w:rFonts w:ascii="宋体" w:cs="宋体"/>
                <w:szCs w:val="21"/>
              </w:rPr>
            </w:pPr>
            <w:r>
              <w:rPr>
                <w:rFonts w:hint="eastAsia" w:ascii="宋体" w:hAnsi="宋体" w:cs="宋体"/>
                <w:szCs w:val="21"/>
              </w:rPr>
              <w:t>与方针一致，符合公司总的质量、环境、职业健康安全目标，</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ascii="宋体" w:hAnsi="宋体" w:cs="宋体"/>
                <w:szCs w:val="21"/>
              </w:rPr>
              <w:t>3</w:t>
            </w:r>
            <w:r>
              <w:rPr>
                <w:rFonts w:hint="eastAsia" w:ascii="宋体" w:hAnsi="宋体" w:cs="宋体"/>
                <w:szCs w:val="21"/>
                <w:lang w:val="en-US" w:eastAsia="zh-CN"/>
              </w:rPr>
              <w:t>0</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w:t>
            </w:r>
            <w:r>
              <w:rPr>
                <w:rFonts w:hint="eastAsia"/>
                <w:szCs w:val="21"/>
                <w:lang w:val="en-US" w:eastAsia="zh-CN"/>
              </w:rPr>
              <w:t>张辉</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20.10.16</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20.10.16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办公室</w:t>
            </w:r>
            <w:r>
              <w:rPr>
                <w:rFonts w:hint="eastAsia"/>
              </w:rPr>
              <w:t>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办公室</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rFonts w:hint="eastAsia" w:ascii="宋体" w:hAnsi="宋体"/>
                <w:b/>
                <w:color w:val="000000"/>
                <w:sz w:val="20"/>
                <w:szCs w:val="20"/>
              </w:rPr>
              <w:t>混凝土的生产</w:t>
            </w:r>
            <w:r>
              <w:rPr>
                <w:rFonts w:hint="eastAsia" w:ascii="宋体" w:hAnsi="宋体"/>
                <w:b/>
                <w:color w:val="000000"/>
                <w:sz w:val="20"/>
                <w:szCs w:val="20"/>
                <w:lang w:val="en-US" w:eastAsia="zh-CN"/>
              </w:rPr>
              <w:t>销售</w:t>
            </w:r>
            <w:r>
              <w:rPr>
                <w:rFonts w:hint="eastAsia" w:ascii="宋体" w:hAnsi="宋体"/>
                <w:szCs w:val="21"/>
              </w:rPr>
              <w:t>：生产、销售</w:t>
            </w:r>
            <w:r>
              <w:rPr>
                <w:rFonts w:hint="eastAsia" w:ascii="宋体" w:hAnsi="宋体" w:cs="宋体"/>
                <w:szCs w:val="21"/>
              </w:rPr>
              <w:t>服务人员：技术人员均为大专或以上学历、</w:t>
            </w:r>
            <w:r>
              <w:rPr>
                <w:rFonts w:hint="eastAsia" w:ascii="宋体" w:hAnsi="宋体" w:cs="宋体"/>
                <w:szCs w:val="21"/>
                <w:lang w:val="en-US" w:eastAsia="zh-CN"/>
              </w:rPr>
              <w:t>实</w:t>
            </w:r>
            <w:r>
              <w:rPr>
                <w:rFonts w:hint="eastAsia" w:ascii="宋体" w:hAnsi="宋体" w:cs="宋体"/>
                <w:szCs w:val="21"/>
              </w:rPr>
              <w:t>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宋体" w:hAnsi="宋体" w:cs="宋体"/>
                <w:szCs w:val="21"/>
              </w:rPr>
              <w:t>搅拌主机、数显抗压试验机、砼回弹仪、砼植入阻力仪、水泥搅砂搅拌机、骨料输送系统、水泥计量系统、粉煤灰计量系统、粉煤灰筒库、水泥筒库、铲车、混凝土运输车、混凝土泵车、混凝土车载泵等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b/>
                <w:color w:val="000000"/>
                <w:sz w:val="20"/>
                <w:szCs w:val="20"/>
              </w:rPr>
            </w:pPr>
            <w:r>
              <w:rPr>
                <w:rFonts w:hint="eastAsia"/>
              </w:rPr>
              <w:t>电液式压力试验机、电液式抗压试验机、全自动温湿度自控仪、实验室搅拌机、混凝土渗透仪、行星式水泥胶砂搅拌机、水泥净浆搅拌机、负压筛析仪、水泥胶砂振实台、自动比表面积测定仪、箱式电阻炉、电动抗析试验机、数显鼓风干燥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rPr>
                <w:rFonts w:hint="default" w:eastAsia="宋体"/>
                <w:szCs w:val="21"/>
                <w:lang w:val="en-US" w:eastAsia="zh-CN"/>
              </w:rPr>
            </w:pPr>
            <w:r>
              <w:rPr>
                <w:rFonts w:hint="eastAsia" w:ascii="宋体" w:hAnsi="宋体"/>
                <w:b/>
                <w:color w:val="000000"/>
                <w:sz w:val="20"/>
                <w:szCs w:val="20"/>
              </w:rPr>
              <w:t>环保设施：</w:t>
            </w:r>
            <w:r>
              <w:rPr>
                <w:rFonts w:hint="eastAsia"/>
                <w:szCs w:val="21"/>
                <w:lang w:val="en-US" w:eastAsia="zh-CN"/>
              </w:rPr>
              <w:t>灭火器、集气罩、袋式除尘器、高压雾化除尘器、沉淀池、隔油池、化粪池。</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cs="宋体"/>
                <w:szCs w:val="21"/>
              </w:rPr>
              <w:t>中央吸尘系统</w:t>
            </w:r>
            <w:r>
              <w:rPr>
                <w:rFonts w:hint="eastAsia" w:ascii="宋体" w:hAnsi="宋体" w:cs="宋体"/>
                <w:bCs/>
                <w:szCs w:val="21"/>
              </w:rPr>
              <w:t>、</w:t>
            </w:r>
            <w:r>
              <w:rPr>
                <w:rFonts w:hint="eastAsia" w:ascii="宋体" w:hAnsi="宋体" w:cs="宋体"/>
                <w:szCs w:val="21"/>
              </w:rPr>
              <w:t>高效旋风脉冲除尘器</w:t>
            </w:r>
            <w:r>
              <w:rPr>
                <w:rFonts w:hint="eastAsia" w:ascii="宋体" w:hAnsi="宋体" w:cs="宋体"/>
                <w:bCs/>
                <w:szCs w:val="21"/>
              </w:rPr>
              <w:t>、</w:t>
            </w:r>
            <w:r>
              <w:rPr>
                <w:rFonts w:hint="eastAsia" w:ascii="宋体" w:hAnsi="宋体" w:cs="宋体"/>
                <w:szCs w:val="21"/>
              </w:rPr>
              <w:t>油烟净化器、</w:t>
            </w:r>
            <w:r>
              <w:rPr>
                <w:rFonts w:hint="eastAsia" w:ascii="宋体" w:hAnsi="宋体" w:cs="宋体"/>
                <w:bCs/>
                <w:szCs w:val="21"/>
              </w:rPr>
              <w:t>灭火器、消防器材、标识牌、隔音、绿化等，生产部定期维护与保养。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办公室</w:t>
            </w:r>
            <w:r>
              <w:rPr>
                <w:szCs w:val="21"/>
              </w:rPr>
              <w:t>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22</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ascii="宋体" w:hAnsi="宋体" w:cs="宋体"/>
                <w:szCs w:val="21"/>
              </w:rPr>
              <w:t>1</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办公室</w:t>
            </w:r>
            <w:r>
              <w:rPr>
                <w:rFonts w:hint="eastAsia" w:ascii="宋体" w:hAnsi="宋体"/>
                <w:szCs w:val="21"/>
                <w:lang w:eastAsia="zh-CN"/>
              </w:rPr>
              <w:t>、</w:t>
            </w:r>
            <w:r>
              <w:rPr>
                <w:rFonts w:hint="eastAsia" w:ascii="宋体" w:hAnsi="宋体"/>
                <w:szCs w:val="21"/>
                <w:lang w:val="en-US" w:eastAsia="zh-CN"/>
              </w:rPr>
              <w:t>供销</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车队</w:t>
            </w:r>
            <w:r>
              <w:rPr>
                <w:rFonts w:hint="eastAsia" w:ascii="宋体" w:hAnsi="宋体"/>
                <w:szCs w:val="21"/>
                <w:lang w:eastAsia="zh-CN"/>
              </w:rPr>
              <w:t>、</w:t>
            </w:r>
            <w:r>
              <w:rPr>
                <w:rFonts w:hint="eastAsia" w:ascii="宋体" w:hAnsi="宋体"/>
                <w:szCs w:val="21"/>
                <w:lang w:val="en-US" w:eastAsia="zh-CN"/>
              </w:rPr>
              <w:t>实验室、财务部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办公室</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办公室</w:t>
            </w:r>
            <w:r>
              <w:rPr>
                <w:rFonts w:hint="eastAsia" w:ascii="宋体" w:hAnsi="宋体" w:cs="宋体"/>
                <w:szCs w:val="21"/>
              </w:rPr>
              <w:t>反馈。</w:t>
            </w:r>
            <w:r>
              <w:rPr>
                <w:rFonts w:hint="eastAsia" w:ascii="宋体" w:hAnsi="宋体" w:cs="宋体"/>
                <w:szCs w:val="21"/>
                <w:lang w:val="en-US" w:eastAsia="zh-CN"/>
              </w:rPr>
              <w:t>供销</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袁新付</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袁新付</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30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重要环境因素</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危险源</w:t>
            </w:r>
            <w:r>
              <w:rPr>
                <w:rFonts w:hint="eastAsia" w:asciiTheme="minorEastAsia" w:hAnsiTheme="minorEastAsia" w:eastAsiaTheme="minorEastAsia" w:cstheme="minorEastAsia"/>
                <w:bCs/>
                <w:szCs w:val="21"/>
              </w:rPr>
              <w:t>的控制，依据公司的相关规定：节能降耗控制程序、废弃物控制程序、大气污染防治控制程序、噪声控制程序、消防管理控制程序等；</w:t>
            </w:r>
          </w:p>
          <w:p>
            <w:pPr>
              <w:numPr>
                <w:ilvl w:val="0"/>
                <w:numId w:val="4"/>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废水控制：</w:t>
            </w:r>
            <w:r>
              <w:rPr>
                <w:rFonts w:hint="eastAsia" w:asciiTheme="minorEastAsia" w:hAnsiTheme="minorEastAsia" w:eastAsiaTheme="minorEastAsia" w:cstheme="minorEastAsia"/>
                <w:bCs/>
                <w:szCs w:val="21"/>
                <w:lang w:val="en-US" w:eastAsia="zh-CN"/>
              </w:rPr>
              <w:t>生产废水为搅拌车、搅拌机等设备清洁废水及砂石分离过程产生的废水，生产废水经沉淀池收集后回用，不外排。生活废水近远期采取不同的处理方式。近期，项目食堂废水经隔油池处理后与生活废水混流，经化粪池和厂区一体化4S-MBR处理工艺处理达到《污水综合排放标准》（GB8978-1996）表4一级标准要求后用于厂区绿化；远期，项目食堂废水经隔油池处理后与生活废水混流，经化粪池处理达到《污水综合排放标准》（GB8978-1996）表4三级标准后经规范化排污口进入葛店三王污水处理厂深度处理，达标排入长江。</w:t>
            </w:r>
          </w:p>
          <w:p>
            <w:pPr>
              <w:numPr>
                <w:ilvl w:val="0"/>
                <w:numId w:val="4"/>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噪声控制：</w:t>
            </w:r>
            <w:r>
              <w:rPr>
                <w:rFonts w:hint="eastAsia" w:asciiTheme="minorEastAsia" w:hAnsiTheme="minorEastAsia" w:eastAsiaTheme="minorEastAsia" w:cstheme="minorEastAsia"/>
                <w:bCs/>
                <w:szCs w:val="21"/>
                <w:lang w:val="en-US" w:eastAsia="zh-CN"/>
              </w:rPr>
              <w:t>企业采取优化厂区平面布置，合理布置高噪声设备，对高噪声设备采取隔声、消声、减振及置于相对封闭的厂房内等措施，并对厂区进行绿化等措施降低噪声对周围环境的影响。</w:t>
            </w:r>
          </w:p>
          <w:p>
            <w:pPr>
              <w:numPr>
                <w:ilvl w:val="0"/>
                <w:numId w:val="4"/>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废气控制：公司的生产设有属于密闭设备，自动化程度高，原料为颗粒状，在生产过程中不产生粉尘及废气，生产中的废气及粉尘为清扫地面产生的灰尘，公司采取降尘洒水，通风的办法。见附件环境监测报告</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4）固废控制：</w:t>
            </w:r>
          </w:p>
          <w:p>
            <w:pP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除尘器及车间收集的粉尘作为原料回用于生产；砂石泥浆及沉淀池污泥堆放于厂区堆场，作为厂区地面基础设施材料综合利用，后期经干化后运至垃圾填埋场填埋，生活垃圾集中收集后由环卫部门定期清运。机修间废机油属危险废物，临时存放于危废暂存间，定期交于有资质单位处置。</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5）能资源管理：公司规定人走灯灭，人走关水等节能节水措施，并互相监督</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6）火灾事故预防：公司配备有灭火器等消防设施，有应急预案，相关人员经过培训。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7）触电：公司专人负责对电箱进行检查和维保，电气线路防护，措施到位。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8）机械伤害：车间悬挂操作规程，人员经过培训，设备定期保养</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9）触电：电箱均有防触电标识，人员经过培训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提供人员社保清单：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公司制定了安全生产责任属，制定了安全目标考核制定.</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提供员工体检清单</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提供员工个人防护清单</w:t>
            </w:r>
          </w:p>
          <w:p>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运行控制基本满足要求。</w:t>
            </w:r>
          </w:p>
          <w:p>
            <w:pPr>
              <w:rPr>
                <w:rFonts w:ascii="宋体" w:cs="宋体"/>
                <w:bCs/>
                <w:sz w:val="21"/>
                <w:szCs w:val="21"/>
              </w:rPr>
            </w:pPr>
            <w:r>
              <w:rPr>
                <w:rFonts w:hint="eastAsia" w:ascii="宋体" w:hAnsi="宋体" w:cs="宋体"/>
                <w:bCs/>
                <w:sz w:val="21"/>
                <w:szCs w:val="21"/>
              </w:rPr>
              <w:t>公司制定了安全生产责任制，制定了安全目标考核制定</w:t>
            </w:r>
            <w:r>
              <w:rPr>
                <w:rFonts w:ascii="宋体" w:cs="宋体"/>
                <w:bCs/>
                <w:sz w:val="21"/>
                <w:szCs w:val="21"/>
              </w:rPr>
              <w:t>.</w:t>
            </w:r>
          </w:p>
          <w:p>
            <w:pPr>
              <w:spacing w:line="240" w:lineRule="exact"/>
              <w:rPr>
                <w:rFonts w:hint="default" w:eastAsia="宋体"/>
                <w:b/>
                <w:color w:val="000000"/>
                <w:sz w:val="20"/>
                <w:szCs w:val="20"/>
                <w:lang w:val="en-US" w:eastAsia="zh-CN"/>
              </w:rPr>
            </w:pPr>
            <w:r>
              <w:rPr>
                <w:rFonts w:hint="eastAsia" w:cs="楷体" w:asciiTheme="minorEastAsia" w:hAnsiTheme="minorEastAsia" w:eastAsiaTheme="minorEastAsia"/>
                <w:b/>
                <w:bCs/>
                <w:color w:val="auto"/>
                <w:szCs w:val="21"/>
                <w:lang w:val="en-US" w:eastAsia="zh-CN"/>
              </w:rPr>
              <w:t>公司未提供</w:t>
            </w:r>
            <w:r>
              <w:rPr>
                <w:rFonts w:hint="eastAsia" w:ascii="宋体" w:hAnsi="宋体" w:cs="宋体"/>
                <w:b/>
                <w:bCs/>
                <w:color w:val="auto"/>
                <w:kern w:val="0"/>
                <w:szCs w:val="21"/>
              </w:rPr>
              <w:t>涉及环境/职业健康安全职业病岗位工作人员体检</w:t>
            </w:r>
            <w:r>
              <w:rPr>
                <w:rFonts w:hint="eastAsia" w:ascii="宋体" w:hAnsi="宋体" w:cs="宋体"/>
                <w:b/>
                <w:bCs/>
                <w:color w:val="auto"/>
                <w:kern w:val="0"/>
                <w:szCs w:val="21"/>
                <w:lang w:val="en-US" w:eastAsia="zh-CN"/>
              </w:rPr>
              <w:t>的相关证据</w:t>
            </w:r>
            <w:r>
              <w:rPr>
                <w:rFonts w:hint="eastAsia" w:ascii="宋体" w:hAnsi="宋体" w:cs="宋体"/>
                <w:b/>
                <w:bCs/>
                <w:color w:val="auto"/>
                <w:szCs w:val="21"/>
              </w:rPr>
              <w:t>。</w:t>
            </w:r>
            <w:r>
              <w:rPr>
                <w:rFonts w:hint="eastAsia" w:ascii="宋体" w:hAnsi="宋体" w:cs="宋体"/>
                <w:b/>
                <w:bCs/>
                <w:color w:val="auto"/>
                <w:szCs w:val="21"/>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24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负责人介绍，公司制定《应急准备和响应控制程序》、《应急救援预案》等，包括：火灾、爆炸应急预案、生产车间中毒、梅雨、雷电等恶劣天气应急预案、高空坠落应急预案等</w:t>
            </w:r>
          </w:p>
          <w:p>
            <w:pPr>
              <w:spacing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预案演练记录》</w:t>
            </w:r>
          </w:p>
          <w:p>
            <w:pPr>
              <w:spacing w:line="240" w:lineRule="auto"/>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时间 ：20</w:t>
            </w: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val="en-US" w:eastAsia="zh-CN"/>
              </w:rPr>
              <w:t>12</w:t>
            </w:r>
            <w:r>
              <w:rPr>
                <w:rFonts w:hint="eastAsia" w:asciiTheme="minorEastAsia" w:hAnsiTheme="minorEastAsia" w:eastAsiaTheme="minorEastAsia" w:cstheme="minorEastAsia"/>
                <w:bCs/>
                <w:sz w:val="21"/>
                <w:szCs w:val="21"/>
              </w:rPr>
              <w:t>月2</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日</w:t>
            </w:r>
          </w:p>
          <w:p>
            <w:pPr>
              <w:spacing w:line="240" w:lineRule="auto"/>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地点：1号仓</w:t>
            </w:r>
          </w:p>
          <w:p>
            <w:pPr>
              <w:spacing w:line="240" w:lineRule="auto"/>
              <w:ind w:firstLine="420" w:firstLineChars="200"/>
              <w:rPr>
                <w:rFonts w:hint="default" w:asciiTheme="minorEastAsia" w:hAnsiTheme="minorEastAsia" w:eastAsiaTheme="minorEastAsia" w:cstheme="minorEastAsia"/>
                <w:bCs/>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部</w:t>
            </w:r>
            <w:r>
              <w:rPr>
                <w:rFonts w:hint="eastAsia" w:asciiTheme="minorEastAsia" w:hAnsiTheme="minorEastAsia" w:eastAsiaTheme="minorEastAsia" w:cstheme="minorEastAsia"/>
                <w:bCs/>
                <w:szCs w:val="21"/>
              </w:rPr>
              <w:t>门：生产部</w:t>
            </w:r>
            <w:r>
              <w:rPr>
                <w:rFonts w:hint="eastAsia" w:asciiTheme="minorEastAsia" w:hAnsiTheme="minorEastAsia" w:eastAsiaTheme="minorEastAsia" w:cstheme="minorEastAsia"/>
                <w:bCs/>
                <w:szCs w:val="21"/>
                <w:lang w:val="en-US" w:eastAsia="zh-CN"/>
              </w:rPr>
              <w:t>及公司各部门</w:t>
            </w:r>
          </w:p>
          <w:p>
            <w:pPr>
              <w:spacing w:line="240" w:lineRule="auto"/>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sz w:val="21"/>
                <w:szCs w:val="21"/>
                <w:lang w:val="en-US" w:eastAsia="zh-CN"/>
              </w:rPr>
              <w:t>许家桥</w:t>
            </w:r>
            <w:r>
              <w:rPr>
                <w:rFonts w:hint="eastAsia"/>
                <w:sz w:val="24"/>
                <w:szCs w:val="24"/>
              </w:rPr>
              <w:t xml:space="preserve"> </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21"/>
              <w:spacing w:line="240" w:lineRule="auto"/>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月2</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日组织了</w:t>
            </w:r>
            <w:r>
              <w:rPr>
                <w:rFonts w:hint="eastAsia" w:asciiTheme="minorEastAsia" w:hAnsiTheme="minorEastAsia" w:eastAsiaTheme="minorEastAsia" w:cstheme="minorEastAsia"/>
                <w:bCs w:val="0"/>
                <w:szCs w:val="21"/>
                <w:lang w:val="en-US" w:eastAsia="zh-CN"/>
              </w:rPr>
              <w:t>火灾</w:t>
            </w:r>
            <w:r>
              <w:rPr>
                <w:rFonts w:hint="eastAsia" w:asciiTheme="minorEastAsia" w:hAnsiTheme="minorEastAsia" w:eastAsiaTheme="minorEastAsia" w:cstheme="minorEastAsia"/>
                <w:szCs w:val="21"/>
              </w:rPr>
              <w:t>预案演练，演练中不但讲解了</w:t>
            </w:r>
            <w:r>
              <w:rPr>
                <w:rFonts w:hint="eastAsia" w:asciiTheme="minorEastAsia" w:hAnsiTheme="minorEastAsia" w:eastAsiaTheme="minorEastAsia" w:cstheme="minorEastAsia"/>
                <w:bCs w:val="0"/>
                <w:szCs w:val="21"/>
                <w:lang w:val="en-US" w:eastAsia="zh-CN"/>
              </w:rPr>
              <w:t>火灾</w:t>
            </w:r>
            <w:r>
              <w:rPr>
                <w:rFonts w:hint="eastAsia" w:asciiTheme="minorEastAsia" w:hAnsiTheme="minorEastAsia" w:eastAsiaTheme="minorEastAsia" w:cstheme="minorEastAsia"/>
                <w:szCs w:val="21"/>
              </w:rPr>
              <w:t>发生后的处理流程，包括汇报机制，通知医院，疏导交通保证救援通道畅通，实施抢救等，并在演练结束后进行了总结，应急预案有可操作性，应急人员基本掌握该方案，能够应对突发事件。</w:t>
            </w:r>
          </w:p>
          <w:p>
            <w:pPr>
              <w:spacing w:line="240" w:lineRule="auto"/>
              <w:ind w:firstLine="525" w:firstLineChars="250"/>
              <w:rPr>
                <w:rFonts w:hAnsiTheme="minorEastAsia" w:eastAsiaTheme="minorEastAsia"/>
                <w:sz w:val="21"/>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240" w:lineRule="auto"/>
              <w:rPr>
                <w:b/>
                <w:color w:val="000000"/>
                <w:spacing w:val="-4"/>
                <w:sz w:val="20"/>
                <w:szCs w:val="20"/>
              </w:rPr>
            </w:pPr>
            <w:r>
              <w:rPr>
                <w:rFonts w:hint="eastAsia" w:asciiTheme="minorEastAsia" w:hAnsiTheme="minorEastAsia" w:eastAsiaTheme="minorEastAsia" w:cs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r>
              <w:rPr>
                <w:rFonts w:hint="eastAsia"/>
                <w:b/>
                <w:color w:val="000000"/>
                <w:sz w:val="20"/>
                <w:szCs w:val="20"/>
              </w:rPr>
              <w:t>未能提供储气罐附属设备安全阀和压力表的检</w:t>
            </w:r>
            <w:r>
              <w:rPr>
                <w:rFonts w:hint="eastAsia"/>
                <w:b/>
                <w:color w:val="000000"/>
                <w:sz w:val="20"/>
                <w:szCs w:val="20"/>
                <w:lang w:val="en-US" w:eastAsia="zh-CN"/>
              </w:rPr>
              <w:t>验</w:t>
            </w:r>
            <w:r>
              <w:rPr>
                <w:rFonts w:hint="eastAsia"/>
                <w:b/>
                <w:color w:val="000000"/>
                <w:sz w:val="20"/>
                <w:szCs w:val="20"/>
              </w:rPr>
              <w:t>报告，开具了不符合。</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240" w:lineRule="exact"/>
              <w:rPr>
                <w:b/>
                <w:color w:val="000000"/>
                <w:sz w:val="20"/>
                <w:szCs w:val="20"/>
              </w:rPr>
            </w:pPr>
            <w:r>
              <w:rPr>
                <w:rFonts w:hint="eastAsia" w:ascii="宋体" w:hAnsi="宋体" w:eastAsia="宋体" w:cs="宋体"/>
                <w:sz w:val="21"/>
                <w:szCs w:val="21"/>
              </w:rPr>
              <w:t>武汉市政建设集团、武汉市水务建设工程有限公司、中冶南方工程技术有限公司、民族建设集团、武汉中生建工集团、重庆万泰建设集团、振发建设集团有限公司、浙江中天建设集团、第十一科技开发研究院、武汉博业工贸有限公司</w:t>
            </w:r>
            <w:r>
              <w:rPr>
                <w:rFonts w:hint="eastAsia" w:ascii="宋体" w:hAnsi="宋体" w:cs="宋体"/>
                <w:sz w:val="21"/>
                <w:szCs w:val="21"/>
                <w:lang w:val="en-US" w:eastAsia="zh-CN"/>
              </w:rPr>
              <w:t>等</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21</w:t>
            </w:r>
            <w:r>
              <w:rPr>
                <w:rFonts w:hint="eastAsia"/>
              </w:rPr>
              <w:t>年内部审核实施计划》，发布了内部管理体系审核通知，计划内容有：目的、范围、审核准则、审核时间</w:t>
            </w:r>
            <w: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6</w:t>
            </w:r>
            <w:r>
              <w:t>-</w:t>
            </w:r>
            <w:r>
              <w:rPr>
                <w:rFonts w:hint="eastAsia"/>
                <w:lang w:val="en-US" w:eastAsia="zh-CN"/>
              </w:rPr>
              <w:t>7</w:t>
            </w:r>
            <w:r>
              <w:rPr>
                <w:rFonts w:hint="eastAsia"/>
              </w:rPr>
              <w:t>日。编制：</w:t>
            </w:r>
            <w:r>
              <w:rPr>
                <w:rFonts w:hint="eastAsia"/>
                <w:szCs w:val="21"/>
                <w:lang w:val="en-US" w:eastAsia="zh-CN"/>
              </w:rPr>
              <w:t>办公室</w:t>
            </w:r>
            <w:r>
              <w:rPr>
                <w:rFonts w:hint="eastAsia"/>
                <w:szCs w:val="21"/>
              </w:rPr>
              <w:t>，日期：</w:t>
            </w:r>
            <w:r>
              <w:rPr>
                <w:szCs w:val="21"/>
              </w:rPr>
              <w:t>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r>
              <w:rPr>
                <w:rFonts w:hint="eastAsia" w:ascii="宋体" w:hAnsi="宋体"/>
              </w:rPr>
              <w:t>不符合事实描述：</w:t>
            </w:r>
            <w:r>
              <w:rPr>
                <w:rFonts w:hint="eastAsia" w:ascii="宋体" w:hAnsi="宋体"/>
                <w:sz w:val="21"/>
                <w:szCs w:val="21"/>
              </w:rPr>
              <w:t>实验室</w:t>
            </w:r>
            <w:r>
              <w:rPr>
                <w:rFonts w:hint="eastAsia" w:ascii="宋体" w:hAnsi="宋体"/>
                <w:sz w:val="21"/>
                <w:szCs w:val="21"/>
                <w:lang w:eastAsia="zh-CN"/>
              </w:rPr>
              <w:t>走廊</w:t>
            </w:r>
            <w:r>
              <w:rPr>
                <w:rFonts w:hint="eastAsia" w:ascii="宋体" w:hAnsi="宋体"/>
                <w:sz w:val="21"/>
                <w:szCs w:val="21"/>
              </w:rPr>
              <w:t>电线裸露在</w:t>
            </w:r>
            <w:r>
              <w:rPr>
                <w:rFonts w:hint="eastAsia" w:ascii="宋体" w:hAnsi="宋体"/>
                <w:sz w:val="21"/>
                <w:szCs w:val="21"/>
                <w:lang w:val="en-US" w:eastAsia="zh-CN"/>
              </w:rPr>
              <w:t>外，有漏电风险，</w:t>
            </w:r>
            <w:r>
              <w:rPr>
                <w:rFonts w:hint="eastAsia" w:ascii="宋体" w:hAnsi="宋体"/>
                <w:sz w:val="21"/>
                <w:szCs w:val="21"/>
              </w:rPr>
              <w:t>不符合</w:t>
            </w:r>
            <w:r>
              <w:rPr>
                <w:rFonts w:ascii="宋体" w:hAnsi="宋体"/>
                <w:sz w:val="21"/>
                <w:szCs w:val="21"/>
              </w:rPr>
              <w:t xml:space="preserve"> </w:t>
            </w:r>
            <w:r>
              <w:rPr>
                <w:rFonts w:hint="eastAsia" w:ascii="宋体" w:hAnsi="宋体"/>
                <w:sz w:val="21"/>
                <w:szCs w:val="21"/>
                <w:lang w:eastAsia="zh-CN"/>
              </w:rPr>
              <w:t>GB/T45001-2020</w:t>
            </w:r>
            <w:r>
              <w:rPr>
                <w:rFonts w:hint="eastAsia" w:ascii="宋体" w:hAnsi="宋体"/>
                <w:sz w:val="21"/>
                <w:szCs w:val="21"/>
              </w:rPr>
              <w:t>标准</w:t>
            </w:r>
            <w:r>
              <w:rPr>
                <w:rFonts w:hint="eastAsia" w:ascii="宋体" w:hAnsi="宋体"/>
                <w:sz w:val="21"/>
                <w:szCs w:val="21"/>
                <w:lang w:val="en-US" w:eastAsia="zh-CN"/>
              </w:rPr>
              <w:t>8.1</w:t>
            </w:r>
            <w:r>
              <w:rPr>
                <w:rFonts w:hint="eastAsia" w:ascii="宋体" w:hAnsi="宋体"/>
                <w:sz w:val="21"/>
                <w:szCs w:val="21"/>
              </w:rPr>
              <w:t>条款</w:t>
            </w:r>
            <w:r>
              <w:rPr>
                <w:rFonts w:hint="eastAsia" w:ascii="宋体" w:hAnsi="宋体"/>
                <w:sz w:val="21"/>
                <w:szCs w:val="21"/>
                <w:lang w:eastAsia="zh-CN"/>
              </w:rPr>
              <w:t>，</w:t>
            </w:r>
            <w:r>
              <w:rPr>
                <w:rFonts w:hint="eastAsia"/>
              </w:rPr>
              <w:t>对于涉及不符合项的部门，进行了原因分析并制定纠正措施计划，经过审核组验证，纠正措施有效。</w:t>
            </w:r>
          </w:p>
          <w:p>
            <w:pPr>
              <w:spacing w:line="240" w:lineRule="auto"/>
            </w:pPr>
            <w:r>
              <w:t>10.</w:t>
            </w:r>
            <w:r>
              <w:rPr>
                <w:rFonts w:hint="eastAsia"/>
              </w:rPr>
              <w:t>提供《审核报告》审核报告中包括审核目的、审核范围、审核依据、审核内容摘要、审核结论等内容，对审核过程进行了综述。</w:t>
            </w:r>
          </w:p>
          <w:p>
            <w:pPr>
              <w:spacing w:line="240" w:lineRule="auto"/>
              <w:ind w:firstLine="315" w:firstLineChars="150"/>
              <w:rPr>
                <w:rFonts w:ascii="宋体"/>
                <w:color w:val="000000"/>
                <w:szCs w:val="21"/>
              </w:rPr>
            </w:pPr>
            <w:r>
              <w:rPr>
                <w:rFonts w:hint="eastAsia"/>
              </w:rPr>
              <w:t>审核结论：</w:t>
            </w:r>
            <w:r>
              <w:rPr>
                <w:rFonts w:hint="eastAsia" w:ascii="宋体" w:hAnsi="宋体"/>
                <w:sz w:val="21"/>
                <w:szCs w:val="21"/>
              </w:rPr>
              <w:t>通过两天的内部审核，审核组认为公司的质量、环境、职业健康安全管理体系在正常运行，且取得了一定的效果，现场审核通过。</w:t>
            </w:r>
          </w:p>
          <w:p>
            <w:pPr>
              <w:spacing w:line="240" w:lineRule="auto"/>
              <w:rPr>
                <w:rFonts w:hint="eastAsia" w:eastAsia="宋体"/>
                <w:lang w:eastAsia="zh-CN"/>
              </w:rPr>
            </w:pPr>
            <w:r>
              <w:rPr>
                <w:rFonts w:hint="eastAsia"/>
              </w:rPr>
              <w:t>编制：</w:t>
            </w:r>
            <w:r>
              <w:rPr>
                <w:rFonts w:hint="eastAsia"/>
                <w:lang w:val="en-US" w:eastAsia="zh-CN"/>
              </w:rPr>
              <w:t>办公室</w:t>
            </w:r>
            <w:r>
              <w:t xml:space="preserve"> </w:t>
            </w:r>
            <w:r>
              <w:rPr>
                <w:rFonts w:hint="eastAsia"/>
              </w:rPr>
              <w:t>批准：</w:t>
            </w:r>
            <w:r>
              <w:rPr>
                <w:rFonts w:hint="eastAsia"/>
                <w:lang w:val="en-US" w:eastAsia="zh-CN"/>
              </w:rPr>
              <w:t>张辉</w:t>
            </w:r>
            <w:r>
              <w:rPr>
                <w:rFonts w:hint="eastAsia"/>
              </w:rPr>
              <w:t>，时间：</w:t>
            </w:r>
            <w:r>
              <w:t>20</w:t>
            </w:r>
            <w:r>
              <w:rPr>
                <w:rFonts w:hint="eastAsia"/>
                <w:lang w:val="en-US" w:eastAsia="zh-CN"/>
              </w:rPr>
              <w:t>21</w:t>
            </w:r>
            <w:r>
              <w:t>.</w:t>
            </w:r>
            <w:r>
              <w:rPr>
                <w:rFonts w:hint="eastAsia"/>
                <w:lang w:val="en-US" w:eastAsia="zh-CN"/>
              </w:rPr>
              <w:t>3</w:t>
            </w:r>
            <w:r>
              <w:t>.</w:t>
            </w:r>
            <w:r>
              <w:rPr>
                <w:rFonts w:hint="eastAsia"/>
                <w:lang w:val="en-US" w:eastAsia="zh-CN"/>
              </w:rPr>
              <w:t>7</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auto"/>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spacing w:line="240" w:lineRule="auto"/>
              <w:rPr>
                <w:rFonts w:ascii="宋体" w:cs="宋体"/>
                <w:szCs w:val="21"/>
              </w:rPr>
            </w:pPr>
            <w:r>
              <w:rPr>
                <w:rFonts w:hint="eastAsia" w:ascii="宋体" w:hAnsi="宋体" w:cs="宋体"/>
                <w:szCs w:val="21"/>
              </w:rPr>
              <w:t>目前按标准要求平稳运行，至今暂无变更情况发生。</w:t>
            </w:r>
          </w:p>
          <w:p>
            <w:pPr>
              <w:spacing w:line="240" w:lineRule="auto"/>
              <w:rPr>
                <w:rFonts w:ascii="宋体" w:cs="宋体"/>
                <w:szCs w:val="21"/>
              </w:rPr>
            </w:pPr>
            <w:r>
              <w:rPr>
                <w:rFonts w:hint="eastAsia" w:ascii="宋体" w:hAnsi="宋体" w:cs="宋体"/>
                <w:szCs w:val="21"/>
              </w:rPr>
              <w:t>查阅公司管理评审资料：</w:t>
            </w:r>
          </w:p>
          <w:p>
            <w:pPr>
              <w:spacing w:line="240" w:lineRule="auto"/>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办公室</w:t>
            </w:r>
            <w:r>
              <w:rPr>
                <w:szCs w:val="21"/>
              </w:rPr>
              <w:t>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22</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ascii="宋体" w:hAnsi="宋体" w:cs="宋体"/>
                <w:szCs w:val="21"/>
              </w:rPr>
              <w:t>1</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24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办公室</w:t>
            </w:r>
            <w:r>
              <w:rPr>
                <w:rFonts w:hint="eastAsia" w:ascii="宋体" w:hAnsi="宋体"/>
                <w:szCs w:val="21"/>
                <w:lang w:eastAsia="zh-CN"/>
              </w:rPr>
              <w:t>、</w:t>
            </w:r>
            <w:r>
              <w:rPr>
                <w:rFonts w:hint="eastAsia" w:ascii="宋体" w:hAnsi="宋体"/>
                <w:szCs w:val="21"/>
                <w:lang w:val="en-US" w:eastAsia="zh-CN"/>
              </w:rPr>
              <w:t>供销</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车队</w:t>
            </w:r>
            <w:r>
              <w:rPr>
                <w:rFonts w:hint="eastAsia" w:ascii="宋体" w:hAnsi="宋体"/>
                <w:szCs w:val="21"/>
                <w:lang w:eastAsia="zh-CN"/>
              </w:rPr>
              <w:t>、</w:t>
            </w:r>
            <w:r>
              <w:rPr>
                <w:rFonts w:hint="eastAsia" w:ascii="宋体" w:hAnsi="宋体"/>
                <w:szCs w:val="21"/>
                <w:lang w:val="en-US" w:eastAsia="zh-CN"/>
              </w:rPr>
              <w:t>实验室、财务部</w:t>
            </w:r>
          </w:p>
          <w:p>
            <w:pPr>
              <w:spacing w:line="240" w:lineRule="auto"/>
              <w:rPr>
                <w:rFonts w:ascii="宋体" w:cs="宋体"/>
                <w:szCs w:val="21"/>
              </w:rPr>
            </w:pPr>
            <w:r>
              <w:rPr>
                <w:rFonts w:hint="eastAsia" w:ascii="宋体" w:hAnsi="宋体" w:cs="宋体"/>
                <w:szCs w:val="21"/>
              </w:rPr>
              <w:t>二、管理评审输入：</w:t>
            </w:r>
          </w:p>
          <w:p>
            <w:pPr>
              <w:spacing w:line="24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240" w:lineRule="auto"/>
              <w:jc w:val="left"/>
              <w:rPr>
                <w:rFonts w:ascii="宋体"/>
                <w:color w:val="000000"/>
                <w:szCs w:val="21"/>
              </w:rPr>
            </w:pPr>
            <w:r>
              <w:rPr>
                <w:rFonts w:hint="eastAsia" w:ascii="宋体" w:hAnsi="宋体"/>
                <w:color w:val="000000"/>
                <w:szCs w:val="21"/>
              </w:rPr>
              <w:t>资源的配备；纠正和预防措施情况；</w:t>
            </w:r>
          </w:p>
          <w:p>
            <w:pPr>
              <w:spacing w:line="240" w:lineRule="auto"/>
              <w:ind w:firstLine="420" w:firstLineChars="200"/>
              <w:rPr>
                <w:rFonts w:ascii="宋体" w:cs="宋体"/>
                <w:szCs w:val="21"/>
              </w:rPr>
            </w:pPr>
            <w:r>
              <w:rPr>
                <w:rFonts w:hint="eastAsia" w:ascii="宋体" w:hAnsi="宋体" w:cs="宋体"/>
                <w:szCs w:val="21"/>
              </w:rPr>
              <w:t>以上内容通过会上工作总结、汇报等形式体现。</w:t>
            </w:r>
          </w:p>
          <w:p>
            <w:pPr>
              <w:spacing w:line="240" w:lineRule="auto"/>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spacing w:line="240" w:lineRule="auto"/>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240" w:lineRule="auto"/>
              <w:rPr>
                <w:rFonts w:ascii="宋体" w:cs="宋体"/>
                <w:szCs w:val="21"/>
              </w:rPr>
            </w:pPr>
            <w:r>
              <w:rPr>
                <w:rFonts w:hint="eastAsia" w:ascii="宋体" w:hAnsi="宋体"/>
                <w:color w:val="000000"/>
                <w:szCs w:val="21"/>
              </w:rPr>
              <w:t>公司管理体系符合</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p>
            <w:pPr>
              <w:spacing w:line="240" w:lineRule="auto"/>
              <w:ind w:firstLine="210" w:firstLineChars="100"/>
              <w:rPr>
                <w:szCs w:val="21"/>
              </w:rPr>
            </w:pPr>
            <w:r>
              <w:rPr>
                <w:rFonts w:hint="eastAsia"/>
                <w:szCs w:val="21"/>
              </w:rPr>
              <w:t>自体系建立以来，公司的管理体系运行全面展开，通过新版的运行，收到良好的效果，经评审认为本公司的管理体系的建立和运行是充分的、适宜的、有效的。已具备了认证审核的条件。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eastAsia" w:eastAsia="宋体"/>
                <w:b/>
                <w:color w:val="000000"/>
                <w:sz w:val="20"/>
                <w:szCs w:val="20"/>
                <w:lang w:eastAsia="zh-CN"/>
              </w:rPr>
            </w:pPr>
            <w:r>
              <w:rPr>
                <w:rFonts w:hint="eastAsia"/>
                <w:b/>
                <w:color w:val="000000"/>
                <w:sz w:val="20"/>
                <w:szCs w:val="20"/>
              </w:rPr>
              <w:t>提供对主要污染物（污水、废气、噪声、废渣等）的监视或测量报告</w:t>
            </w:r>
            <w:r>
              <w:rPr>
                <w:rFonts w:hint="eastAsia"/>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rPr>
              <w:t>按规定进行定期测量，满足要求。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320" w:lineRule="exact"/>
              <w:rPr>
                <w:rFonts w:ascii="宋体"/>
                <w:b/>
                <w:color w:val="000000"/>
                <w:u w:val="single"/>
              </w:rPr>
            </w:pPr>
            <w:r>
              <w:rPr>
                <w:rFonts w:ascii="宋体" w:hAnsi="宋体"/>
                <w:b/>
                <w:color w:val="000000"/>
              </w:rPr>
              <w:t>QMS:</w:t>
            </w:r>
          </w:p>
          <w:p>
            <w:pPr>
              <w:spacing w:line="320" w:lineRule="exact"/>
              <w:rPr>
                <w:rFonts w:ascii="宋体"/>
                <w:b/>
                <w:color w:val="000000"/>
                <w:u w:val="single"/>
              </w:rPr>
            </w:pPr>
          </w:p>
          <w:p>
            <w:pPr>
              <w:rPr>
                <w:rFonts w:ascii="宋体"/>
                <w:b/>
                <w:color w:val="000000"/>
                <w:u w:val="single"/>
                <w:lang w:val="en-GB"/>
              </w:rPr>
            </w:pPr>
            <w:r>
              <w:rPr>
                <w:rFonts w:ascii="宋体" w:hAnsi="宋体"/>
                <w:b/>
                <w:color w:val="000000"/>
              </w:rPr>
              <w:t>EMS</w:t>
            </w:r>
            <w:r>
              <w:rPr>
                <w:rFonts w:ascii="宋体" w:hAnsi="宋体"/>
                <w:b/>
                <w:color w:val="000000"/>
                <w:lang w:val="en-GB"/>
              </w:rPr>
              <w:t>:</w:t>
            </w:r>
            <w:r>
              <w:rPr>
                <w:sz w:val="20"/>
              </w:rPr>
              <w:t>预拌混凝土的生产所涉及场所的相关环境管理活动</w:t>
            </w:r>
          </w:p>
          <w:p>
            <w:pPr>
              <w:spacing w:line="320" w:lineRule="exact"/>
              <w:rPr>
                <w:rFonts w:ascii="宋体"/>
                <w:b/>
                <w:color w:val="000000"/>
                <w:u w:val="single"/>
                <w:lang w:val="en-GB"/>
              </w:rPr>
            </w:pPr>
          </w:p>
          <w:p>
            <w:pPr>
              <w:spacing w:line="320" w:lineRule="exact"/>
              <w:rPr>
                <w:b/>
                <w:color w:val="000000"/>
                <w:spacing w:val="-10"/>
                <w:sz w:val="22"/>
                <w:szCs w:val="22"/>
              </w:rPr>
            </w:pPr>
            <w:r>
              <w:rPr>
                <w:rFonts w:ascii="宋体" w:hAnsi="宋体"/>
                <w:b/>
                <w:color w:val="000000"/>
              </w:rPr>
              <w:t>OHSMS</w:t>
            </w:r>
            <w:r>
              <w:rPr>
                <w:rFonts w:ascii="宋体" w:hAnsi="宋体"/>
                <w:b/>
                <w:color w:val="000000"/>
                <w:lang w:val="en-GB"/>
              </w:rPr>
              <w:t>:</w:t>
            </w:r>
            <w:r>
              <w:rPr>
                <w:sz w:val="20"/>
              </w:rPr>
              <w:t>预拌混凝土的生产所涉及场所的相关职业健康安全管理活动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1544955</wp:posOffset>
            </wp:positionH>
            <wp:positionV relativeFrom="paragraph">
              <wp:posOffset>229235</wp:posOffset>
            </wp:positionV>
            <wp:extent cx="847090" cy="713740"/>
            <wp:effectExtent l="0" t="0" r="3810" b="10160"/>
            <wp:wrapNone/>
            <wp:docPr id="3"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1689735</wp:posOffset>
            </wp:positionH>
            <wp:positionV relativeFrom="paragraph">
              <wp:posOffset>116840</wp:posOffset>
            </wp:positionV>
            <wp:extent cx="754380" cy="403225"/>
            <wp:effectExtent l="0" t="0" r="7620" b="3175"/>
            <wp:wrapNone/>
            <wp:docPr id="4" name="图片 4"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fe9196852b75b378b13d4ebd427a2"/>
                    <pic:cNvPicPr>
                      <a:picLocks noChangeAspect="1"/>
                    </pic:cNvPicPr>
                  </pic:nvPicPr>
                  <pic:blipFill>
                    <a:blip r:embed="rId7"/>
                    <a:stretch>
                      <a:fillRect/>
                    </a:stretch>
                  </pic:blipFill>
                  <pic:spPr>
                    <a:xfrm>
                      <a:off x="0" y="0"/>
                      <a:ext cx="754380" cy="40322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706755</wp:posOffset>
            </wp:positionH>
            <wp:positionV relativeFrom="paragraph">
              <wp:posOffset>71120</wp:posOffset>
            </wp:positionV>
            <wp:extent cx="847090" cy="713740"/>
            <wp:effectExtent l="0" t="0" r="3810" b="10160"/>
            <wp:wrapNone/>
            <wp:docPr id="5"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5 </w:t>
      </w:r>
      <w:r>
        <w:rPr>
          <w:rFonts w:hint="eastAsia"/>
          <w:b/>
          <w:color w:val="000000" w:themeColor="text1"/>
          <w:szCs w:val="21"/>
        </w:rPr>
        <w:t>月</w:t>
      </w:r>
      <w:r>
        <w:rPr>
          <w:rFonts w:hint="eastAsia"/>
          <w:b/>
          <w:color w:val="000000" w:themeColor="text1"/>
          <w:szCs w:val="21"/>
          <w:lang w:val="en-US" w:eastAsia="zh-CN"/>
        </w:rPr>
        <w:t xml:space="preserve"> 28</w:t>
      </w:r>
      <w:bookmarkStart w:id="22" w:name="_GoBack"/>
      <w:bookmarkEnd w:id="22"/>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1" w:name="_Hlk8555230"/>
    <w:r>
      <w:pict>
        <v:shape id="_x0000_s3073" o:spid="_x0000_s3073" o:spt="202" type="#_x0000_t202" style="position:absolute;left:0pt;margin-left:249.35pt;margin-top:5.25pt;height:20.2pt;width:16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A507B7"/>
    <w:multiLevelType w:val="singleLevel"/>
    <w:tmpl w:val="62A507B7"/>
    <w:lvl w:ilvl="0" w:tentative="0">
      <w:start w:val="1"/>
      <w:numFmt w:val="decimal"/>
      <w:suff w:val="nothing"/>
      <w:lvlText w:val="%1）"/>
      <w:lvlJc w:val="left"/>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67E29"/>
    <w:rsid w:val="11AA5DB1"/>
    <w:rsid w:val="172C5066"/>
    <w:rsid w:val="3829247A"/>
    <w:rsid w:val="48C8419C"/>
    <w:rsid w:val="61BB4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2021-05-28T14:02:19Z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894EDF5650254202891496FC709048DE</vt:lpwstr>
  </property>
</Properties>
</file>