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湖北源弘再生资源有限公司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2021.5.24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0D2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2021-05-22T09:44:03Z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66BC5C5726C94DB1ACB360FE816E9749</vt:lpwstr>
  </property>
</Properties>
</file>