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湖北源弘再生资源有限公司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E：16.02.03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O：16.02.03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李凤仪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购货（需方）单位提出委托和混凝土质量技术要求→双方签订供需合同并明确双方责任→下达生产任务→请混凝土申配合比、依据配合比备料、进行原材料检验→测砂石含水率、调整砂石和用水量、调整好的配合比输入微机→按配合比要求计量（称重）→搅拌（定时控制）→出料（测塌落度、制作试块）→装入罐车→运输（至需方指定地点）→浇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0"/>
              </w:rPr>
              <w:t>固体废物排放、潜在火灾</w:t>
            </w:r>
            <w:r>
              <w:rPr>
                <w:rFonts w:hint="eastAsia"/>
                <w:sz w:val="20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省实施《中华人民共和国水污染防治法》办法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省城市环境噪声管理奖惩办法</w:t>
            </w:r>
            <w:r>
              <w:rPr>
                <w:sz w:val="20"/>
              </w:rPr>
              <w:t xml:space="preserve">       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中华人民共和国固体废弃物污染环境防治法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  <w:lang w:val="en-US" w:eastAsia="zh-CN"/>
              </w:rPr>
              <w:t>湖北</w:t>
            </w:r>
            <w:r>
              <w:rPr>
                <w:rFonts w:hint="eastAsia"/>
                <w:sz w:val="20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中华人民共和国节约能源法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生产安全事故应急预案管理办法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实</w:t>
            </w:r>
            <w:r>
              <w:rPr>
                <w:rFonts w:hint="eastAsia"/>
                <w:sz w:val="20"/>
              </w:rPr>
              <w:t>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现场审核技巧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2021.5.22</w:t>
      </w:r>
      <w:r>
        <w:rPr>
          <w:rFonts w:hint="eastAsia"/>
          <w:b/>
          <w:sz w:val="18"/>
          <w:szCs w:val="18"/>
        </w:rPr>
        <w:t xml:space="preserve">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伍光华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2021.5.22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2050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59346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3</TotalTime>
  <ScaleCrop>false</ScaleCrop>
  <LinksUpToDate>false</LinksUpToDate>
  <CharactersWithSpaces>314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Lenovo</cp:lastModifiedBy>
  <dcterms:modified xsi:type="dcterms:W3CDTF">2021-05-22T03:07:30Z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51E8975CDD2E499C997A5180D699B1F1</vt:lpwstr>
  </property>
</Properties>
</file>