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0507-2021-EO</w:t>
      </w:r>
      <w:bookmarkEnd w:id="0"/>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cstate="print"/>
                    <a:stretch>
                      <a:fillRect/>
                    </a:stretch>
                  </pic:blipFill>
                  <pic:spPr>
                    <a:xfrm>
                      <a:off x="0" y="0"/>
                      <a:ext cx="2092802" cy="2092802"/>
                    </a:xfrm>
                    <a:prstGeom prst="rect">
                      <a:avLst/>
                    </a:prstGeom>
                  </pic:spPr>
                </pic:pic>
              </a:graphicData>
            </a:graphic>
          </wp:inline>
        </w:drawing>
      </w:r>
    </w:p>
    <w:p>
      <w:pPr>
        <w:snapToGrid w:val="0"/>
        <w:spacing w:afterLines="30"/>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重庆铭弘工程塑料制品有限公司</w:t>
      </w:r>
      <w:bookmarkEnd w:id="1"/>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E:14.02.02</w:t>
            </w:r>
          </w:p>
          <w:p>
            <w:pPr>
              <w:spacing w:line="240" w:lineRule="exact"/>
              <w:jc w:val="center"/>
              <w:rPr>
                <w:b/>
                <w:color w:val="000000"/>
                <w:sz w:val="20"/>
                <w:szCs w:val="20"/>
              </w:rPr>
            </w:pPr>
            <w:r>
              <w:rPr>
                <w:b/>
                <w:color w:val="000000"/>
                <w:sz w:val="20"/>
                <w:szCs w:val="20"/>
              </w:rPr>
              <w:t>O:14.02.02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E:14.02.02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b/>
          <w:sz w:val="20"/>
          <w:lang w:val="de-DE"/>
        </w:rPr>
        <w:t>GB/T45001-2020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重庆铭弘工程塑料制品有限公司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重庆市九龙坡区白市驿镇海龙村4社</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重庆市江津区珞璜工业园B区中兴大道二路7号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张康明</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023-86175883</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王琼</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张康明</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ascii="宋体"/>
                <w:b/>
                <w:color w:val="000000"/>
                <w:sz w:val="20"/>
                <w:szCs w:val="20"/>
              </w:rPr>
              <w:t>2021.1.1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E：塑料包装桶的生产（需生产许可证的除外）所涉及场所的相关环境管理活动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O：塑料包装桶的生产（需生产许可证的除外）所涉及场所的相关职业健康安全管理活动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E：14.02.02</w:t>
            </w:r>
          </w:p>
          <w:p>
            <w:pPr>
              <w:spacing w:line="280" w:lineRule="exact"/>
              <w:rPr>
                <w:rFonts w:ascii="宋体"/>
                <w:b/>
                <w:color w:val="000000"/>
                <w:sz w:val="20"/>
                <w:szCs w:val="20"/>
              </w:rPr>
            </w:pPr>
            <w:r>
              <w:rPr>
                <w:rFonts w:ascii="宋体"/>
                <w:b/>
                <w:color w:val="000000"/>
                <w:sz w:val="20"/>
                <w:szCs w:val="20"/>
              </w:rPr>
              <w:t>O：14.02.02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评审的文件有管理评审、内部审核、管理手册、程序文件等。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部门：综合部、生产部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场所：办公室、生产现场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z w:val="20"/>
                <w:szCs w:val="20"/>
              </w:rPr>
            </w:pPr>
            <w:r>
              <w:rPr>
                <w:rFonts w:hint="eastAsia" w:ascii="宋体" w:hAnsi="宋体"/>
                <w:color w:val="00000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z w:val="20"/>
                <w:szCs w:val="20"/>
              </w:rPr>
            </w:pPr>
            <w:r>
              <w:rPr>
                <w:rFonts w:hint="eastAsia" w:ascii="宋体" w:hAnsi="宋体"/>
                <w:color w:val="00000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t>塑料包装桶的生产（需生产许可证的除外）</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公司部门设置：管理层、生产部、综合部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管理体系推进部门：综合部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质量管理部门：生产部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环境管理主管部门：综合部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Theme="minorEastAsia" w:hAnsiTheme="minorEastAsia" w:eastAsiaTheme="minorEastAsia"/>
                <w:sz w:val="20"/>
              </w:rPr>
            </w:pPr>
            <w:r>
              <w:rPr>
                <w:rFonts w:hint="eastAsia" w:ascii="宋体" w:hAnsi="宋体"/>
                <w:color w:val="000000"/>
                <w:sz w:val="20"/>
                <w:szCs w:val="20"/>
              </w:rPr>
              <w:t>受审核方位于：</w:t>
            </w:r>
            <w:bookmarkStart w:id="24" w:name="生产地址"/>
            <w:r>
              <w:rPr>
                <w:rFonts w:asciiTheme="minorEastAsia" w:hAnsiTheme="minorEastAsia" w:eastAsiaTheme="minorEastAsia"/>
                <w:sz w:val="20"/>
              </w:rPr>
              <w:t>重庆市江津区珞璜工业园B区中兴大道二路7号</w:t>
            </w:r>
            <w:bookmarkEnd w:id="24"/>
          </w:p>
          <w:p>
            <w:pPr>
              <w:tabs>
                <w:tab w:val="left" w:pos="360"/>
              </w:tabs>
              <w:ind w:left="357" w:hanging="357"/>
              <w:rPr>
                <w:rFonts w:ascii="宋体"/>
                <w:color w:val="000000"/>
                <w:sz w:val="20"/>
                <w:szCs w:val="20"/>
              </w:rPr>
            </w:pPr>
            <w:bookmarkStart w:id="25" w:name="_GoBack"/>
            <w:bookmarkEnd w:id="25"/>
            <w:r>
              <w:rPr>
                <w:rFonts w:hint="eastAsia" w:ascii="宋体" w:hAnsi="宋体"/>
                <w:color w:val="000000"/>
                <w:sz w:val="20"/>
                <w:szCs w:val="20"/>
              </w:rPr>
              <w:t>其使用的建筑设施是：■自建办公用房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hAnsi="宋体"/>
                <w:color w:val="000000" w:themeColor="text1"/>
                <w:szCs w:val="21"/>
              </w:rPr>
              <w:t>工业企业厂界环境噪声排放标准（GB12348-2008）3类、污水综合排放标准（GB8978-1996</w:t>
            </w:r>
            <w:r>
              <w:rPr>
                <w:rFonts w:ascii="宋体" w:hAnsi="宋体"/>
                <w:color w:val="000000" w:themeColor="text1"/>
                <w:szCs w:val="21"/>
              </w:rPr>
              <w:t>）</w:t>
            </w:r>
            <w:r>
              <w:rPr>
                <w:rFonts w:hint="eastAsia" w:ascii="宋体" w:hAnsi="宋体"/>
                <w:color w:val="000000" w:themeColor="text1"/>
                <w:szCs w:val="21"/>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adjustRightInd w:val="0"/>
              <w:snapToGrid w:val="0"/>
              <w:spacing w:line="400" w:lineRule="exact"/>
              <w:rPr>
                <w:rFonts w:ascii="宋体" w:hAnsi="宋体"/>
                <w:szCs w:val="21"/>
              </w:rPr>
            </w:pPr>
            <w:r>
              <w:rPr>
                <w:rFonts w:hint="eastAsia" w:ascii="宋体" w:hAnsi="宋体"/>
                <w:szCs w:val="21"/>
              </w:rPr>
              <w:t>产品工艺流程：</w:t>
            </w:r>
          </w:p>
          <w:p>
            <w:pPr>
              <w:rPr>
                <w:rFonts w:ascii="宋体"/>
                <w:color w:val="000000"/>
                <w:sz w:val="20"/>
                <w:szCs w:val="20"/>
              </w:rPr>
            </w:pPr>
            <w:r>
              <w:rPr>
                <w:rFonts w:hint="eastAsia"/>
                <w:szCs w:val="21"/>
              </w:rPr>
              <w:t>原料（聚乙烯+色母）</w:t>
            </w:r>
            <w:r>
              <w:rPr>
                <w:szCs w:val="21"/>
              </w:rPr>
              <w:t>——</w:t>
            </w:r>
            <w:r>
              <w:rPr>
                <w:rFonts w:hint="eastAsia"/>
                <w:szCs w:val="21"/>
              </w:rPr>
              <w:t>混合</w:t>
            </w:r>
            <w:r>
              <w:rPr>
                <w:szCs w:val="21"/>
              </w:rPr>
              <w:t>——</w:t>
            </w:r>
            <w:r>
              <w:rPr>
                <w:rFonts w:hint="eastAsia"/>
                <w:szCs w:val="21"/>
              </w:rPr>
              <w:t>熔融</w:t>
            </w:r>
            <w:r>
              <w:rPr>
                <w:szCs w:val="21"/>
              </w:rPr>
              <w:t>——</w:t>
            </w:r>
            <w:r>
              <w:rPr>
                <w:rFonts w:hint="eastAsia"/>
                <w:szCs w:val="21"/>
              </w:rPr>
              <w:t>挤出——吹塑成型</w:t>
            </w:r>
            <w:r>
              <w:rPr>
                <w:szCs w:val="21"/>
              </w:rPr>
              <w:t>——</w:t>
            </w:r>
            <w:r>
              <w:rPr>
                <w:rFonts w:hint="eastAsia"/>
                <w:szCs w:val="21"/>
              </w:rPr>
              <w:t>贴标</w:t>
            </w:r>
            <w:r>
              <w:rPr>
                <w:szCs w:val="21"/>
              </w:rPr>
              <w:t>——</w:t>
            </w:r>
            <w:r>
              <w:rPr>
                <w:rFonts w:hint="eastAsia"/>
                <w:szCs w:val="21"/>
              </w:rPr>
              <w:t>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szCs w:val="21"/>
              </w:rPr>
              <w:t>全自动中空成型吹塑机、粉粹机</w:t>
            </w:r>
            <w:r>
              <w:rPr>
                <w:rFonts w:hint="eastAsia" w:ascii="宋体" w:hAnsi="宋体"/>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hAnsi="宋体" w:cs="宋体"/>
                <w:szCs w:val="21"/>
              </w:rPr>
              <w:t>游标卡尺、电子秤和弹簧度盘秤</w:t>
            </w:r>
            <w:r>
              <w:rPr>
                <w:rFonts w:hint="eastAsia"/>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无特殊要求，满足生产需求。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重要环境因素有：潜在火灾、固废的排放、噪声的排放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针对重要环境因素建立了运行控制程序：（1）环境因素识别与评价程序；（2）运行控制程序。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针对重要环境因素是否明确了监视和测量的要求：绩效监测和测量程序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r>
              <w:rPr>
                <w:rFonts w:hint="eastAsia" w:ascii="宋体"/>
                <w:sz w:val="20"/>
                <w:szCs w:val="20"/>
              </w:rPr>
              <w:t>触电应急预案、火灾应急预案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不可接受风险有：火灾、机械伤害、触电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针对不可接受风险建立了运行控制程序：危险源识别与评价程序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针对不可接受风险是否明确了监视和测量的要求：绩效监测和测量程序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组织员工人数：15人，其中管理人员：5人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重点审核部门：综合部、生产部</w:t>
            </w:r>
          </w:p>
          <w:p>
            <w:pPr>
              <w:spacing w:line="260" w:lineRule="exact"/>
              <w:rPr>
                <w:rFonts w:ascii="宋体"/>
                <w:b/>
                <w:color w:val="000000"/>
                <w:sz w:val="20"/>
                <w:szCs w:val="20"/>
              </w:rPr>
            </w:pPr>
            <w:r>
              <w:rPr>
                <w:rFonts w:hint="eastAsia" w:ascii="宋体" w:hAnsi="宋体"/>
                <w:b/>
                <w:color w:val="000000"/>
                <w:sz w:val="20"/>
                <w:szCs w:val="20"/>
              </w:rPr>
              <w:t>重点审核场所：办公区域、生产场所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重点审核部门：综合部、生产部</w:t>
            </w:r>
          </w:p>
          <w:p>
            <w:pPr>
              <w:spacing w:line="260" w:lineRule="exact"/>
              <w:rPr>
                <w:rFonts w:ascii="宋体"/>
                <w:b/>
                <w:color w:val="000000"/>
                <w:sz w:val="20"/>
                <w:szCs w:val="20"/>
              </w:rPr>
            </w:pPr>
            <w:r>
              <w:rPr>
                <w:rFonts w:hint="eastAsia" w:ascii="宋体" w:hAnsi="宋体"/>
                <w:b/>
                <w:color w:val="000000"/>
                <w:sz w:val="20"/>
                <w:szCs w:val="20"/>
              </w:rPr>
              <w:t>重点审核场所：办公区域、生产场所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 w:val="18"/>
                <w:szCs w:val="18"/>
              </w:rPr>
            </w:pPr>
            <w:r>
              <w:rPr>
                <w:rFonts w:hint="eastAsia" w:ascii="宋体" w:hAnsi="宋体"/>
                <w:b/>
                <w:color w:val="000000"/>
                <w:sz w:val="18"/>
                <w:szCs w:val="18"/>
              </w:rPr>
              <w:t>了解内审的策划</w:t>
            </w:r>
            <w:r>
              <w:rPr>
                <w:rFonts w:ascii="宋体" w:hAnsi="宋体"/>
                <w:b/>
                <w:color w:val="000000"/>
                <w:sz w:val="18"/>
                <w:szCs w:val="18"/>
              </w:rPr>
              <w:t xml:space="preserve">; </w:t>
            </w:r>
            <w:r>
              <w:rPr>
                <w:rFonts w:hint="eastAsia"/>
                <w:sz w:val="18"/>
                <w:szCs w:val="18"/>
              </w:rPr>
              <w:t>建立有《内部审核程序》，于2021年4月5日进行了内部审核。</w:t>
            </w:r>
          </w:p>
          <w:p>
            <w:pPr>
              <w:spacing w:line="400" w:lineRule="exact"/>
              <w:rPr>
                <w:sz w:val="18"/>
                <w:szCs w:val="18"/>
              </w:rPr>
            </w:pPr>
            <w:r>
              <w:rPr>
                <w:rFonts w:hint="eastAsia"/>
                <w:sz w:val="18"/>
                <w:szCs w:val="18"/>
              </w:rPr>
              <w:t>内部审核组由：</w:t>
            </w:r>
            <w:r>
              <w:rPr>
                <w:rFonts w:hint="eastAsia" w:ascii="宋体" w:hAnsi="宋体"/>
                <w:sz w:val="18"/>
                <w:szCs w:val="18"/>
              </w:rPr>
              <w:t>组长：黄浩 组员：唐华武</w:t>
            </w:r>
            <w:r>
              <w:rPr>
                <w:rFonts w:hint="eastAsia"/>
                <w:sz w:val="18"/>
                <w:szCs w:val="18"/>
              </w:rPr>
              <w:t>。</w:t>
            </w:r>
          </w:p>
          <w:p>
            <w:pPr>
              <w:spacing w:line="260" w:lineRule="exact"/>
              <w:rPr>
                <w:rFonts w:asci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18"/>
                <w:szCs w:val="18"/>
              </w:rPr>
            </w:pPr>
            <w:r>
              <w:rPr>
                <w:rFonts w:hint="eastAsia" w:ascii="宋体" w:hAnsi="宋体"/>
                <w:b/>
                <w:color w:val="000000"/>
                <w:sz w:val="18"/>
                <w:szCs w:val="18"/>
              </w:rPr>
              <w:t>了解内审是否覆盖了管理体系范围内的活动及标准的要求</w:t>
            </w:r>
            <w:r>
              <w:rPr>
                <w:rFonts w:ascii="宋体" w:hAnsi="宋体"/>
                <w:b/>
                <w:color w:val="000000"/>
                <w:sz w:val="18"/>
                <w:szCs w:val="18"/>
              </w:rPr>
              <w:t xml:space="preserve">; </w:t>
            </w:r>
          </w:p>
          <w:p>
            <w:pPr>
              <w:spacing w:line="400" w:lineRule="exact"/>
              <w:rPr>
                <w:sz w:val="18"/>
                <w:szCs w:val="18"/>
              </w:rPr>
            </w:pPr>
            <w:r>
              <w:rPr>
                <w:rFonts w:hint="eastAsia"/>
                <w:sz w:val="18"/>
                <w:szCs w:val="18"/>
              </w:rPr>
              <w:t>审核范围:管理手册所覆盖的所有部门和要素。</w:t>
            </w:r>
          </w:p>
          <w:p>
            <w:pPr>
              <w:spacing w:line="260" w:lineRule="exact"/>
              <w:rPr>
                <w:rFonts w:ascii="宋体" w:hAnsi="宋体"/>
                <w:b/>
                <w:color w:val="000000"/>
                <w:sz w:val="18"/>
                <w:szCs w:val="18"/>
              </w:rPr>
            </w:pPr>
            <w:r>
              <w:rPr>
                <w:rFonts w:hint="eastAsia"/>
                <w:sz w:val="18"/>
                <w:szCs w:val="18"/>
              </w:rPr>
              <w:t>审核准则：a.GB/T 24001-2016标准、ISO45001：2018； b.本公司管理体系文 件；c.相关法律法规及其他要求等。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18"/>
                <w:szCs w:val="18"/>
              </w:rPr>
            </w:pPr>
            <w:r>
              <w:rPr>
                <w:rFonts w:hint="eastAsia" w:ascii="宋体" w:hAnsi="宋体"/>
                <w:b/>
                <w:color w:val="000000"/>
                <w:sz w:val="18"/>
                <w:szCs w:val="18"/>
              </w:rPr>
              <w:t>了解内审结论是什么？</w:t>
            </w:r>
          </w:p>
          <w:p>
            <w:pPr>
              <w:spacing w:line="400" w:lineRule="exact"/>
              <w:rPr>
                <w:sz w:val="18"/>
                <w:szCs w:val="18"/>
              </w:rPr>
            </w:pPr>
            <w:r>
              <w:rPr>
                <w:rFonts w:hint="eastAsia"/>
                <w:sz w:val="18"/>
                <w:szCs w:val="18"/>
              </w:rPr>
              <w:t>本次内审对体系文件管理手册、体系文件进行了全面检查，通过审核可以看出管理体系已基本进入了正常状态，但仍存在一些问题，需要完善现场作业及加强各类人员的培训。</w:t>
            </w:r>
          </w:p>
          <w:p>
            <w:pPr>
              <w:spacing w:line="400" w:lineRule="exact"/>
              <w:rPr>
                <w:sz w:val="18"/>
                <w:szCs w:val="18"/>
              </w:rPr>
            </w:pPr>
            <w:r>
              <w:rPr>
                <w:rFonts w:hint="eastAsia"/>
                <w:sz w:val="18"/>
                <w:szCs w:val="18"/>
              </w:rPr>
              <w:t>各部门需要对内审开出的不符合项报告认真整改，并做到举一反三，以点带面，通过纠正预防措施的执行，使管理体系正常而有效运行。</w:t>
            </w:r>
          </w:p>
          <w:p>
            <w:pPr>
              <w:spacing w:line="400" w:lineRule="exact"/>
              <w:rPr>
                <w:sz w:val="18"/>
                <w:szCs w:val="18"/>
              </w:rPr>
            </w:pPr>
            <w:r>
              <w:rPr>
                <w:rFonts w:hint="eastAsia"/>
                <w:sz w:val="18"/>
                <w:szCs w:val="18"/>
              </w:rPr>
              <w:t>管理体系运行符合标准要求，实施基本有效，可以如期申请认证机构的正式审核。</w:t>
            </w:r>
          </w:p>
          <w:p>
            <w:pPr>
              <w:spacing w:line="260" w:lineRule="exact"/>
              <w:rPr>
                <w:rFonts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18"/>
                <w:szCs w:val="18"/>
              </w:rPr>
            </w:pPr>
            <w:r>
              <w:rPr>
                <w:rFonts w:hint="eastAsia" w:ascii="宋体" w:hAnsi="宋体"/>
                <w:b/>
                <w:color w:val="000000"/>
                <w:sz w:val="18"/>
                <w:szCs w:val="18"/>
              </w:rPr>
              <w:t>了解管理评审的策划</w:t>
            </w:r>
            <w:r>
              <w:rPr>
                <w:rFonts w:ascii="宋体" w:hAnsi="宋体"/>
                <w:b/>
                <w:color w:val="000000"/>
                <w:sz w:val="18"/>
                <w:szCs w:val="18"/>
              </w:rPr>
              <w:t>;</w:t>
            </w:r>
            <w:r>
              <w:rPr>
                <w:rFonts w:hint="eastAsia" w:ascii="宋体" w:hAnsi="宋体" w:cs="宋体"/>
                <w:w w:val="90"/>
                <w:sz w:val="18"/>
                <w:szCs w:val="18"/>
              </w:rPr>
              <w:t xml:space="preserve"> </w:t>
            </w:r>
            <w:r>
              <w:rPr>
                <w:rFonts w:hint="eastAsia"/>
                <w:sz w:val="18"/>
                <w:szCs w:val="18"/>
              </w:rPr>
              <w:t>建立有《管理评审程序》，于2021年4月25日就管理方针和目标，评价和审定管理体系运行的适宜性、充分性和有效性进行了评审。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18"/>
                <w:szCs w:val="18"/>
              </w:rPr>
            </w:pPr>
            <w:r>
              <w:rPr>
                <w:rFonts w:hint="eastAsia" w:ascii="宋体" w:hAnsi="宋体"/>
                <w:b/>
                <w:color w:val="000000"/>
                <w:sz w:val="18"/>
                <w:szCs w:val="18"/>
              </w:rPr>
              <w:t>了解管理评审输入是否充分</w:t>
            </w:r>
            <w:r>
              <w:rPr>
                <w:rFonts w:ascii="宋体" w:hAnsi="宋体"/>
                <w:b/>
                <w:color w:val="000000"/>
                <w:sz w:val="18"/>
                <w:szCs w:val="18"/>
              </w:rPr>
              <w:t xml:space="preserve">; </w:t>
            </w:r>
            <w:r>
              <w:rPr>
                <w:rFonts w:hint="eastAsia" w:ascii="宋体" w:hAnsi="宋体"/>
                <w:kern w:val="0"/>
                <w:sz w:val="18"/>
                <w:szCs w:val="18"/>
              </w:rPr>
              <w:t>提供主要输入材料有：各部门总结，</w:t>
            </w:r>
            <w:r>
              <w:rPr>
                <w:rFonts w:hint="eastAsia" w:ascii="宋体"/>
                <w:kern w:val="0"/>
                <w:sz w:val="18"/>
                <w:szCs w:val="18"/>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18"/>
                <w:szCs w:val="18"/>
              </w:rPr>
            </w:pPr>
            <w:r>
              <w:rPr>
                <w:rFonts w:hint="eastAsia" w:ascii="宋体" w:hAnsi="宋体"/>
                <w:b/>
                <w:color w:val="000000"/>
                <w:sz w:val="18"/>
                <w:szCs w:val="18"/>
              </w:rPr>
              <w:t>了解管理评审结论</w:t>
            </w:r>
            <w:r>
              <w:rPr>
                <w:rFonts w:ascii="宋体" w:hAnsi="宋体"/>
                <w:b/>
                <w:color w:val="000000"/>
                <w:sz w:val="18"/>
                <w:szCs w:val="18"/>
              </w:rPr>
              <w:t xml:space="preserve">; </w:t>
            </w:r>
            <w:r>
              <w:rPr>
                <w:rFonts w:hint="eastAsia"/>
                <w:sz w:val="18"/>
                <w:szCs w:val="18"/>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p>
            <w:pPr>
              <w:widowControl/>
              <w:jc w:val="left"/>
              <w:rPr>
                <w:rFonts w:ascii="宋体"/>
                <w:b/>
                <w:color w:val="000000"/>
                <w:szCs w:val="21"/>
              </w:rPr>
            </w:pP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rPr>
          <w:rFonts w:hint="eastAsia"/>
          <w:color w:val="000000"/>
          <w:szCs w:val="21"/>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w:t>
      </w:r>
      <w:r>
        <w:rPr>
          <w:rFonts w:hint="eastAsia" w:ascii="宋体" w:hAnsi="宋体"/>
          <w:szCs w:val="21"/>
          <w:u w:val="single"/>
        </w:rPr>
        <w:t>塑料包装桶的生产（需生产许可证的除外）所涉及场所的相关环境管理活动</w:t>
      </w:r>
    </w:p>
    <w:p>
      <w:pPr>
        <w:spacing w:line="300" w:lineRule="auto"/>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szCs w:val="21"/>
          <w:u w:val="single"/>
        </w:rPr>
        <w:t>塑料包装桶的生产（需生产许可证的除外）所涉及场所的相关职业健康安全管理活动</w:t>
      </w:r>
    </w:p>
    <w:p>
      <w:pPr>
        <w:spacing w:beforeLines="50"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2336" behindDoc="0" locked="0" layoutInCell="1" allowOverlap="1">
            <wp:simplePos x="0" y="0"/>
            <wp:positionH relativeFrom="column">
              <wp:posOffset>1790065</wp:posOffset>
            </wp:positionH>
            <wp:positionV relativeFrom="paragraph">
              <wp:posOffset>337820</wp:posOffset>
            </wp:positionV>
            <wp:extent cx="323850" cy="335280"/>
            <wp:effectExtent l="0" t="0" r="11430" b="0"/>
            <wp:wrapNone/>
            <wp:docPr id="9"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3" w:firstLineChars="400"/>
        <w:rPr>
          <w:rFonts w:ascii="宋体"/>
          <w:b/>
          <w:color w:val="000000"/>
        </w:rPr>
      </w:pPr>
      <w:r>
        <w:rPr>
          <w:rFonts w:hint="eastAsia"/>
          <w:b/>
          <w:sz w:val="22"/>
          <w:szCs w:val="22"/>
        </w:rPr>
        <w:drawing>
          <wp:anchor distT="0" distB="0" distL="114300" distR="114300" simplePos="0" relativeHeight="251661312" behindDoc="0" locked="0" layoutInCell="1" allowOverlap="1">
            <wp:simplePos x="0" y="0"/>
            <wp:positionH relativeFrom="column">
              <wp:posOffset>1879600</wp:posOffset>
            </wp:positionH>
            <wp:positionV relativeFrom="paragraph">
              <wp:posOffset>79375</wp:posOffset>
            </wp:positionV>
            <wp:extent cx="504190" cy="307340"/>
            <wp:effectExtent l="19050" t="0" r="0" b="0"/>
            <wp:wrapNone/>
            <wp:docPr id="10"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C:\Users\Administrator\Desktop\新文档 2020-01-09 10.59.53_副本.jpg"/>
                    <pic:cNvPicPr>
                      <a:picLocks noChangeAspect="1" noChangeArrowheads="1"/>
                    </pic:cNvPicPr>
                  </pic:nvPicPr>
                  <pic:blipFill>
                    <a:blip r:embed="rId7" cstate="print"/>
                    <a:srcRect/>
                    <a:stretch>
                      <a:fillRect/>
                    </a:stretch>
                  </pic:blipFill>
                  <pic:spPr>
                    <a:xfrm>
                      <a:off x="0" y="0"/>
                      <a:ext cx="504190" cy="307340"/>
                    </a:xfrm>
                    <a:prstGeom prst="rect">
                      <a:avLst/>
                    </a:prstGeom>
                    <a:noFill/>
                    <a:ln w="9525">
                      <a:noFill/>
                      <a:miter lim="800000"/>
                      <a:headEnd/>
                      <a:tailEnd/>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2021年5月22日</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 w:val="32"/>
          <w:szCs w:val="32"/>
        </w:rPr>
      </w:pPr>
      <w:r>
        <w:rPr>
          <w:rFonts w:eastAsia="隶书"/>
          <w:color w:val="000000"/>
          <w:szCs w:val="21"/>
        </w:rPr>
        <w:br w:type="page"/>
      </w: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sz w:val="21"/>
          <w:szCs w:val="21"/>
        </w:rPr>
        <w:t>重庆铭弘工程塑料制品有限公司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r>
              <w:rPr>
                <w:rFonts w:hint="eastAsia"/>
                <w:color w:val="000000"/>
                <w:sz w:val="24"/>
                <w:szCs w:val="24"/>
              </w:rPr>
              <w:t>无</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sz w:val="22"/>
                <w:szCs w:val="22"/>
              </w:rPr>
              <w:drawing>
                <wp:anchor distT="0" distB="0" distL="114300" distR="114300" simplePos="0" relativeHeight="251663360" behindDoc="0" locked="0" layoutInCell="1" allowOverlap="1">
                  <wp:simplePos x="0" y="0"/>
                  <wp:positionH relativeFrom="column">
                    <wp:posOffset>532765</wp:posOffset>
                  </wp:positionH>
                  <wp:positionV relativeFrom="paragraph">
                    <wp:posOffset>20955</wp:posOffset>
                  </wp:positionV>
                  <wp:extent cx="323850" cy="335280"/>
                  <wp:effectExtent l="0" t="0" r="11430" b="0"/>
                  <wp:wrapNone/>
                  <wp:docPr id="12"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sz w:val="22"/>
                <w:szCs w:val="22"/>
              </w:rPr>
              <w:t>审核员：</w:t>
            </w:r>
          </w:p>
          <w:p>
            <w:pPr>
              <w:spacing w:line="280" w:lineRule="exact"/>
              <w:rPr>
                <w:b/>
                <w:color w:val="000000"/>
                <w:sz w:val="22"/>
                <w:szCs w:val="22"/>
              </w:rPr>
            </w:pPr>
          </w:p>
          <w:p>
            <w:pPr>
              <w:spacing w:line="280" w:lineRule="exact"/>
              <w:rPr>
                <w:b/>
                <w:color w:val="000000"/>
                <w:sz w:val="22"/>
                <w:szCs w:val="22"/>
              </w:rPr>
            </w:pPr>
            <w:r>
              <w:rPr>
                <w:rFonts w:hint="eastAsia"/>
                <w:b/>
                <w:color w:val="000000"/>
                <w:sz w:val="22"/>
                <w:szCs w:val="22"/>
              </w:rPr>
              <w:t>日期：2021年5月22日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日期：2021年 5月22日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sz w:val="22"/>
                <w:szCs w:val="22"/>
              </w:rPr>
              <w:drawing>
                <wp:anchor distT="0" distB="0" distL="114300" distR="114300" simplePos="0" relativeHeight="251664384" behindDoc="0" locked="0" layoutInCell="1" allowOverlap="1">
                  <wp:simplePos x="0" y="0"/>
                  <wp:positionH relativeFrom="column">
                    <wp:posOffset>628015</wp:posOffset>
                  </wp:positionH>
                  <wp:positionV relativeFrom="paragraph">
                    <wp:posOffset>197485</wp:posOffset>
                  </wp:positionV>
                  <wp:extent cx="323850" cy="335280"/>
                  <wp:effectExtent l="0" t="0" r="11430" b="0"/>
                  <wp:wrapNone/>
                  <wp:docPr id="14"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           日期：2021年 5月 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beforeLines="50"/>
        <w:ind w:firstLine="300" w:firstLineChars="115"/>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A299D"/>
    <w:rsid w:val="00044DF3"/>
    <w:rsid w:val="0028728B"/>
    <w:rsid w:val="003564C2"/>
    <w:rsid w:val="00944698"/>
    <w:rsid w:val="00956AB3"/>
    <w:rsid w:val="00967913"/>
    <w:rsid w:val="009E1CFD"/>
    <w:rsid w:val="00AD5855"/>
    <w:rsid w:val="00AF4F3D"/>
    <w:rsid w:val="00CA299D"/>
    <w:rsid w:val="00F15434"/>
    <w:rsid w:val="66365A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 w:type="character" w:customStyle="1" w:styleId="10">
    <w:name w:val="页脚 Char"/>
    <w:link w:val="3"/>
    <w:qFormat/>
    <w:locked/>
    <w:uiPriority w:val="99"/>
    <w:rPr>
      <w:rFonts w:ascii="Times New Roman" w:hAnsi="Times New Roman" w:eastAsia="宋体" w:cs="Times New Roman"/>
      <w:sz w:val="18"/>
      <w:szCs w:val="18"/>
    </w:rPr>
  </w:style>
  <w:style w:type="character" w:customStyle="1" w:styleId="11">
    <w:name w:val="页眉 Char"/>
    <w:link w:val="4"/>
    <w:qFormat/>
    <w:locked/>
    <w:uiPriority w:val="99"/>
    <w:rPr>
      <w:rFonts w:ascii="Calibri" w:hAnsi="Calibri" w:eastAsia="宋体" w:cs="Times New Roman"/>
      <w:sz w:val="18"/>
      <w:szCs w:val="18"/>
    </w:rPr>
  </w:style>
  <w:style w:type="character" w:customStyle="1" w:styleId="12">
    <w:name w:val="副标题 Char"/>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1133</Words>
  <Characters>6460</Characters>
  <Lines>53</Lines>
  <Paragraphs>15</Paragraphs>
  <TotalTime>1</TotalTime>
  <ScaleCrop>false</ScaleCrop>
  <LinksUpToDate>false</LinksUpToDate>
  <CharactersWithSpaces>7578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2021-05-31T06:38:19Z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