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过程与活动、</w:t>
            </w:r>
          </w:p>
          <w:p>
            <w:pPr>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抽样计划</w:t>
            </w:r>
          </w:p>
        </w:tc>
        <w:tc>
          <w:tcPr>
            <w:tcW w:w="86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涉及</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条款</w:t>
            </w:r>
          </w:p>
        </w:tc>
        <w:tc>
          <w:tcPr>
            <w:tcW w:w="11490" w:type="dxa"/>
            <w:vAlign w:val="center"/>
          </w:tcPr>
          <w:p>
            <w:pPr>
              <w:keepNext w:val="0"/>
              <w:keepLines w:val="0"/>
              <w:widowControl/>
              <w:suppressLineNumbers w:val="0"/>
              <w:jc w:val="left"/>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受审核部门：管理层；           主管领导：</w:t>
            </w:r>
            <w:r>
              <w:rPr>
                <w:rFonts w:hint="eastAsia" w:ascii="楷体" w:hAnsi="楷体" w:eastAsia="楷体" w:cs="楷体"/>
                <w:b w:val="0"/>
                <w:bCs w:val="0"/>
                <w:color w:val="auto"/>
                <w:sz w:val="21"/>
                <w:szCs w:val="21"/>
                <w:lang w:val="en-US" w:eastAsia="zh-CN"/>
              </w:rPr>
              <w:t>董风林/白艳</w:t>
            </w:r>
            <w:r>
              <w:rPr>
                <w:rFonts w:hint="eastAsia" w:ascii="楷体" w:hAnsi="楷体" w:eastAsia="楷体" w:cs="楷体"/>
                <w:b w:val="0"/>
                <w:bCs w:val="0"/>
                <w:color w:val="auto"/>
                <w:sz w:val="21"/>
                <w:szCs w:val="21"/>
              </w:rPr>
              <w:t xml:space="preserve">       陪同人员：</w:t>
            </w:r>
            <w:r>
              <w:rPr>
                <w:rFonts w:hint="eastAsia" w:ascii="楷体" w:hAnsi="楷体" w:eastAsia="楷体" w:cs="楷体"/>
                <w:b w:val="0"/>
                <w:bCs w:val="0"/>
                <w:color w:val="auto"/>
                <w:sz w:val="21"/>
                <w:szCs w:val="21"/>
                <w:lang w:val="en-US" w:eastAsia="zh-CN"/>
              </w:rPr>
              <w:t>王李强</w:t>
            </w:r>
          </w:p>
        </w:tc>
        <w:tc>
          <w:tcPr>
            <w:tcW w:w="70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spacing w:before="12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 xml:space="preserve">审核员：周文廷   </w:t>
            </w:r>
            <w:r>
              <w:rPr>
                <w:rFonts w:hint="eastAsia" w:ascii="楷体" w:hAnsi="楷体" w:eastAsia="楷体" w:cs="楷体"/>
                <w:b w:val="0"/>
                <w:bCs w:val="0"/>
                <w:sz w:val="21"/>
                <w:szCs w:val="21"/>
              </w:rPr>
              <w:t>米素军</w:t>
            </w:r>
            <w:r>
              <w:rPr>
                <w:rFonts w:hint="eastAsia" w:ascii="楷体" w:hAnsi="楷体" w:eastAsia="楷体" w:cs="楷体"/>
                <w:b w:val="0"/>
                <w:bCs w:val="0"/>
                <w:color w:val="auto"/>
                <w:sz w:val="21"/>
                <w:szCs w:val="21"/>
              </w:rPr>
              <w:t xml:space="preserve">             审核时间：202</w:t>
            </w:r>
            <w:r>
              <w:rPr>
                <w:rFonts w:hint="eastAsia" w:ascii="楷体" w:hAnsi="楷体" w:eastAsia="楷体" w:cs="楷体"/>
                <w:b w:val="0"/>
                <w:bCs w:val="0"/>
                <w:color w:val="auto"/>
                <w:sz w:val="21"/>
                <w:szCs w:val="21"/>
                <w:lang w:val="en-US" w:eastAsia="zh-CN"/>
              </w:rPr>
              <w:t>1.6.6</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审核条款：4.1/4.2/4.3/4.4/5.2</w:t>
            </w:r>
            <w:r>
              <w:rPr>
                <w:rFonts w:hint="eastAsia" w:ascii="楷体" w:hAnsi="楷体" w:eastAsia="楷体" w:cs="楷体"/>
                <w:b w:val="0"/>
                <w:bCs w:val="0"/>
                <w:color w:val="auto"/>
                <w:sz w:val="21"/>
                <w:szCs w:val="21"/>
                <w:lang w:val="en-US" w:eastAsia="zh-CN"/>
              </w:rPr>
              <w:t>/5.3</w:t>
            </w:r>
            <w:r>
              <w:rPr>
                <w:rFonts w:hint="eastAsia" w:ascii="楷体" w:hAnsi="楷体" w:eastAsia="楷体" w:cs="楷体"/>
                <w:b w:val="0"/>
                <w:bCs w:val="0"/>
                <w:color w:val="auto"/>
                <w:sz w:val="21"/>
                <w:szCs w:val="21"/>
              </w:rPr>
              <w:t>/6.1/6.2/9.2/9.3</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公司概况，资质情况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组织机构、体系策划实施情况</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认证范围确认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适用条款确认</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外包过程</w:t>
            </w: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4.1</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4.4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6.1</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企业基本情况</w:t>
            </w:r>
          </w:p>
          <w:p>
            <w:pPr>
              <w:bidi w:val="0"/>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1、总经理</w:t>
            </w:r>
            <w:r>
              <w:rPr>
                <w:rFonts w:hint="eastAsia" w:ascii="楷体" w:hAnsi="楷体" w:eastAsia="楷体" w:cs="楷体"/>
                <w:b w:val="0"/>
                <w:bCs w:val="0"/>
                <w:color w:val="auto"/>
                <w:sz w:val="21"/>
                <w:szCs w:val="21"/>
                <w:lang w:val="en-US" w:eastAsia="zh-CN"/>
              </w:rPr>
              <w:t>/管代</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董风林/白艳</w:t>
            </w:r>
            <w:bookmarkStart w:id="3" w:name="_GoBack"/>
            <w:bookmarkEnd w:id="3"/>
            <w:r>
              <w:rPr>
                <w:rFonts w:hint="eastAsia" w:ascii="楷体" w:hAnsi="楷体" w:eastAsia="楷体" w:cs="楷体"/>
                <w:b w:val="0"/>
                <w:bCs w:val="0"/>
                <w:color w:val="auto"/>
                <w:sz w:val="21"/>
                <w:szCs w:val="21"/>
              </w:rPr>
              <w:t>；</w:t>
            </w:r>
          </w:p>
          <w:p>
            <w:pPr>
              <w:bidi w:val="0"/>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2、按照认证范围公司提供的法律证明文件有：</w:t>
            </w:r>
          </w:p>
          <w:p>
            <w:pPr>
              <w:bidi w:val="0"/>
              <w:rPr>
                <w:rFonts w:hint="eastAsia" w:ascii="楷体" w:hAnsi="楷体" w:eastAsia="楷体" w:cs="楷体"/>
                <w:b w:val="0"/>
                <w:bCs w:val="0"/>
                <w:color w:val="auto"/>
                <w:sz w:val="21"/>
                <w:szCs w:val="21"/>
                <w:lang w:val="en-US" w:eastAsia="zh-CN"/>
              </w:rPr>
            </w:pPr>
            <w:bookmarkStart w:id="0" w:name="组织名称"/>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营业执照，统一社会信用代码：</w:t>
            </w:r>
            <w:r>
              <w:rPr>
                <w:rFonts w:hint="eastAsia" w:ascii="楷体" w:hAnsi="楷体" w:eastAsia="楷体" w:cs="楷体"/>
                <w:b w:val="0"/>
                <w:bCs w:val="0"/>
                <w:color w:val="auto"/>
                <w:sz w:val="21"/>
                <w:szCs w:val="21"/>
                <w:lang w:val="en-US" w:eastAsia="zh-CN"/>
              </w:rPr>
              <w:t>91131028MA07QLKY8Q</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2)动物防疫条件合格证：（廊大）动物合第20150001号，代码编号：131028502150001</w:t>
            </w:r>
          </w:p>
          <w:p>
            <w:pPr>
              <w:pStyle w:val="2"/>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3)食品经营许可证：JY11310280001483</w:t>
            </w:r>
          </w:p>
          <w:p>
            <w:pPr>
              <w:bidi w:val="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3、</w:t>
            </w:r>
            <w:bookmarkEnd w:id="0"/>
            <w:r>
              <w:rPr>
                <w:rFonts w:hint="eastAsia" w:ascii="楷体" w:hAnsi="楷体" w:eastAsia="楷体" w:cs="楷体"/>
                <w:color w:val="000000"/>
                <w:sz w:val="21"/>
                <w:szCs w:val="21"/>
              </w:rPr>
              <w:t>大厂回族自治县京国华肉类有限公司</w:t>
            </w:r>
            <w:r>
              <w:rPr>
                <w:rFonts w:hint="eastAsia" w:ascii="楷体" w:hAnsi="楷体" w:eastAsia="楷体" w:cs="楷体"/>
                <w:b w:val="0"/>
                <w:bCs w:val="0"/>
                <w:color w:val="auto"/>
                <w:sz w:val="21"/>
                <w:szCs w:val="21"/>
                <w:lang w:eastAsia="zh-CN"/>
              </w:rPr>
              <w:t>成立于201</w:t>
            </w:r>
            <w:r>
              <w:rPr>
                <w:rFonts w:hint="eastAsia" w:ascii="楷体" w:hAnsi="楷体" w:eastAsia="楷体" w:cs="楷体"/>
                <w:b w:val="0"/>
                <w:bCs w:val="0"/>
                <w:color w:val="auto"/>
                <w:sz w:val="21"/>
                <w:szCs w:val="21"/>
                <w:lang w:val="en-US" w:eastAsia="zh-CN"/>
              </w:rPr>
              <w:t>6</w:t>
            </w:r>
            <w:r>
              <w:rPr>
                <w:rFonts w:hint="eastAsia" w:ascii="楷体" w:hAnsi="楷体" w:eastAsia="楷体" w:cs="楷体"/>
                <w:b w:val="0"/>
                <w:bCs w:val="0"/>
                <w:color w:val="auto"/>
                <w:sz w:val="21"/>
                <w:szCs w:val="21"/>
                <w:lang w:eastAsia="zh-CN"/>
              </w:rPr>
              <w:t>年</w:t>
            </w:r>
            <w:r>
              <w:rPr>
                <w:rFonts w:hint="eastAsia" w:ascii="楷体" w:hAnsi="楷体" w:eastAsia="楷体" w:cs="楷体"/>
                <w:b w:val="0"/>
                <w:bCs w:val="0"/>
                <w:color w:val="auto"/>
                <w:sz w:val="21"/>
                <w:szCs w:val="21"/>
                <w:lang w:val="en-US" w:eastAsia="zh-CN"/>
              </w:rPr>
              <w:t>5</w:t>
            </w:r>
            <w:r>
              <w:rPr>
                <w:rFonts w:hint="eastAsia" w:ascii="楷体" w:hAnsi="楷体" w:eastAsia="楷体" w:cs="楷体"/>
                <w:b w:val="0"/>
                <w:bCs w:val="0"/>
                <w:color w:val="auto"/>
                <w:sz w:val="21"/>
                <w:szCs w:val="21"/>
                <w:lang w:eastAsia="zh-CN"/>
              </w:rPr>
              <w:t>月</w:t>
            </w:r>
            <w:r>
              <w:rPr>
                <w:rFonts w:hint="eastAsia" w:ascii="楷体" w:hAnsi="楷体" w:eastAsia="楷体" w:cs="楷体"/>
                <w:b w:val="0"/>
                <w:bCs w:val="0"/>
                <w:color w:val="auto"/>
                <w:sz w:val="21"/>
                <w:szCs w:val="21"/>
                <w:lang w:val="en-US" w:eastAsia="zh-CN"/>
              </w:rPr>
              <w:t>11</w:t>
            </w:r>
            <w:r>
              <w:rPr>
                <w:rFonts w:hint="eastAsia" w:ascii="楷体" w:hAnsi="楷体" w:eastAsia="楷体" w:cs="楷体"/>
                <w:b w:val="0"/>
                <w:bCs w:val="0"/>
                <w:color w:val="auto"/>
                <w:sz w:val="21"/>
                <w:szCs w:val="21"/>
                <w:lang w:eastAsia="zh-CN"/>
              </w:rPr>
              <w:t>日,注册资本</w:t>
            </w:r>
            <w:r>
              <w:rPr>
                <w:rFonts w:hint="eastAsia" w:ascii="楷体" w:hAnsi="楷体" w:eastAsia="楷体" w:cs="楷体"/>
                <w:b w:val="0"/>
                <w:bCs w:val="0"/>
                <w:color w:val="auto"/>
                <w:sz w:val="21"/>
                <w:szCs w:val="21"/>
                <w:lang w:val="en-US" w:eastAsia="zh-CN"/>
              </w:rPr>
              <w:t>100</w:t>
            </w:r>
            <w:r>
              <w:rPr>
                <w:rFonts w:hint="eastAsia" w:ascii="楷体" w:hAnsi="楷体" w:eastAsia="楷体" w:cs="楷体"/>
                <w:b w:val="0"/>
                <w:bCs w:val="0"/>
                <w:color w:val="auto"/>
                <w:sz w:val="21"/>
                <w:szCs w:val="21"/>
                <w:lang w:eastAsia="zh-CN"/>
              </w:rPr>
              <w:t>万元，注册</w:t>
            </w:r>
            <w:r>
              <w:rPr>
                <w:rFonts w:hint="eastAsia" w:ascii="楷体" w:hAnsi="楷体" w:eastAsia="楷体" w:cs="楷体"/>
                <w:b w:val="0"/>
                <w:bCs w:val="0"/>
                <w:color w:val="auto"/>
                <w:sz w:val="21"/>
                <w:szCs w:val="21"/>
                <w:lang w:val="en-US" w:eastAsia="zh-CN"/>
              </w:rPr>
              <w:t>/经营</w:t>
            </w:r>
            <w:r>
              <w:rPr>
                <w:rFonts w:hint="eastAsia" w:ascii="楷体" w:hAnsi="楷体" w:eastAsia="楷体" w:cs="楷体"/>
                <w:b w:val="0"/>
                <w:bCs w:val="0"/>
                <w:color w:val="auto"/>
                <w:sz w:val="21"/>
                <w:szCs w:val="21"/>
                <w:lang w:eastAsia="zh-CN"/>
              </w:rPr>
              <w:t>地址：</w:t>
            </w:r>
            <w:bookmarkStart w:id="1" w:name="注册地址"/>
            <w:r>
              <w:rPr>
                <w:rFonts w:hint="eastAsia" w:ascii="楷体" w:hAnsi="楷体" w:eastAsia="楷体" w:cs="楷体"/>
                <w:sz w:val="21"/>
                <w:szCs w:val="21"/>
              </w:rPr>
              <w:t>河北省廊坊市大厂回族自治县北务三村浦江路西侧</w:t>
            </w:r>
            <w:bookmarkEnd w:id="1"/>
            <w:r>
              <w:rPr>
                <w:rFonts w:hint="eastAsia" w:ascii="楷体" w:hAnsi="楷体" w:eastAsia="楷体" w:cs="楷体"/>
                <w:b w:val="0"/>
                <w:bCs w:val="0"/>
                <w:color w:val="auto"/>
                <w:sz w:val="21"/>
                <w:szCs w:val="21"/>
                <w:lang w:val="en-US" w:eastAsia="zh-CN"/>
              </w:rPr>
              <w:t xml:space="preserve">  </w:t>
            </w:r>
          </w:p>
          <w:p>
            <w:pPr>
              <w:bidi w:val="0"/>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eastAsia="zh-CN"/>
              </w:rPr>
              <w:t>4、主要经营范围：</w:t>
            </w:r>
            <w:bookmarkStart w:id="2" w:name="审核范围"/>
            <w:r>
              <w:rPr>
                <w:rFonts w:hint="eastAsia" w:ascii="楷体" w:hAnsi="楷体" w:eastAsia="楷体" w:cs="楷体"/>
                <w:b w:val="0"/>
                <w:bCs w:val="0"/>
                <w:sz w:val="21"/>
                <w:szCs w:val="21"/>
              </w:rPr>
              <w:t>鲜冻牛肉的分割加工</w:t>
            </w:r>
            <w:bookmarkEnd w:id="2"/>
            <w:r>
              <w:rPr>
                <w:rFonts w:hint="eastAsia" w:ascii="楷体" w:hAnsi="楷体" w:eastAsia="楷体" w:cs="楷体"/>
                <w:b w:val="0"/>
                <w:bCs w:val="0"/>
                <w:color w:val="auto"/>
                <w:sz w:val="21"/>
                <w:szCs w:val="21"/>
                <w:lang w:eastAsia="zh-CN"/>
              </w:rPr>
              <w:t>；</w:t>
            </w:r>
          </w:p>
          <w:p>
            <w:pPr>
              <w:bidi w:val="0"/>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5、公司设有管理层、</w:t>
            </w:r>
            <w:r>
              <w:rPr>
                <w:rFonts w:hint="eastAsia" w:ascii="楷体" w:hAnsi="楷体" w:eastAsia="楷体" w:cs="楷体"/>
                <w:b w:val="0"/>
                <w:bCs w:val="0"/>
                <w:color w:val="auto"/>
                <w:sz w:val="21"/>
                <w:szCs w:val="21"/>
                <w:lang w:eastAsia="zh-CN"/>
              </w:rPr>
              <w:t>办公室</w:t>
            </w:r>
            <w:r>
              <w:rPr>
                <w:rFonts w:hint="eastAsia" w:ascii="楷体" w:hAnsi="楷体" w:eastAsia="楷体" w:cs="楷体"/>
                <w:b w:val="0"/>
                <w:bCs w:val="0"/>
                <w:color w:val="auto"/>
                <w:sz w:val="21"/>
                <w:szCs w:val="21"/>
              </w:rPr>
              <w:t>、生产部</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质检部、</w:t>
            </w:r>
            <w:r>
              <w:rPr>
                <w:rFonts w:hint="eastAsia" w:ascii="楷体" w:hAnsi="楷体" w:eastAsia="楷体" w:cs="楷体"/>
                <w:b w:val="0"/>
                <w:bCs w:val="0"/>
                <w:color w:val="auto"/>
                <w:sz w:val="21"/>
                <w:szCs w:val="21"/>
                <w:lang w:eastAsia="zh-CN"/>
              </w:rPr>
              <w:t>供销部</w:t>
            </w:r>
            <w:r>
              <w:rPr>
                <w:rFonts w:hint="eastAsia" w:ascii="楷体" w:hAnsi="楷体" w:eastAsia="楷体" w:cs="楷体"/>
                <w:b w:val="0"/>
                <w:bCs w:val="0"/>
                <w:color w:val="auto"/>
                <w:sz w:val="21"/>
                <w:szCs w:val="21"/>
              </w:rPr>
              <w:t>等部门。</w:t>
            </w:r>
          </w:p>
          <w:p>
            <w:pPr>
              <w:rPr>
                <w:rFonts w:hint="eastAsia" w:ascii="楷体" w:hAnsi="楷体" w:eastAsia="楷体" w:cs="楷体"/>
                <w:b w:val="0"/>
                <w:bCs w:val="0"/>
                <w:color w:val="auto"/>
                <w:sz w:val="21"/>
                <w:szCs w:val="21"/>
                <w:lang w:val="en-GB"/>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b w:val="0"/>
                <w:bCs w:val="0"/>
                <w:color w:val="auto"/>
                <w:sz w:val="21"/>
                <w:szCs w:val="21"/>
                <w:lang w:val="en-GB"/>
              </w:rPr>
              <w:t>通过制定管理制度、作业文件及相关措施，对活动的主要环节实施了有效的控制。</w:t>
            </w:r>
            <w:r>
              <w:rPr>
                <w:rFonts w:hint="eastAsia" w:ascii="楷体" w:hAnsi="楷体" w:eastAsia="楷体" w:cs="楷体"/>
                <w:b w:val="0"/>
                <w:bCs w:val="0"/>
                <w:color w:val="auto"/>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审核组与受审核方管代通过电话确认的审核范围：</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QMS：</w:t>
            </w:r>
            <w:r>
              <w:rPr>
                <w:rFonts w:hint="eastAsia" w:ascii="楷体" w:hAnsi="楷体" w:eastAsia="楷体" w:cs="楷体"/>
                <w:b w:val="0"/>
                <w:bCs w:val="0"/>
                <w:sz w:val="21"/>
                <w:szCs w:val="21"/>
              </w:rPr>
              <w:t>鲜冻牛肉的分割加工</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 xml:space="preserve"> </w:t>
            </w:r>
          </w:p>
          <w:p>
            <w:pPr>
              <w:pStyle w:val="2"/>
              <w:spacing w:line="4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b w:val="0"/>
                <w:bCs w:val="0"/>
                <w:color w:val="0000FF"/>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外包过程：</w:t>
            </w:r>
            <w:r>
              <w:rPr>
                <w:rFonts w:hint="eastAsia" w:ascii="楷体" w:hAnsi="楷体" w:eastAsia="楷体" w:cs="楷体"/>
                <w:b w:val="0"/>
                <w:bCs w:val="0"/>
                <w:color w:val="auto"/>
                <w:sz w:val="21"/>
                <w:szCs w:val="21"/>
                <w:lang w:val="en-US" w:eastAsia="zh-CN"/>
              </w:rPr>
              <w:t>菌落总数、大肠菌群、挥发性盐基氮的检测</w:t>
            </w:r>
            <w:r>
              <w:rPr>
                <w:rFonts w:hint="eastAsia" w:ascii="楷体" w:hAnsi="楷体" w:eastAsia="楷体" w:cs="楷体"/>
                <w:b w:val="0"/>
                <w:bCs w:val="0"/>
                <w:color w:val="auto"/>
                <w:sz w:val="21"/>
                <w:szCs w:val="21"/>
              </w:rPr>
              <w:t>。</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管理体系覆盖人数</w:t>
            </w:r>
            <w:r>
              <w:rPr>
                <w:rFonts w:hint="eastAsia" w:ascii="楷体" w:hAnsi="楷体" w:eastAsia="楷体" w:cs="楷体"/>
                <w:b w:val="0"/>
                <w:bCs w:val="0"/>
                <w:color w:val="auto"/>
                <w:sz w:val="21"/>
                <w:szCs w:val="21"/>
                <w:lang w:val="en-US" w:eastAsia="zh-CN"/>
              </w:rPr>
              <w:t>20</w:t>
            </w:r>
            <w:r>
              <w:rPr>
                <w:rFonts w:hint="eastAsia" w:ascii="楷体" w:hAnsi="楷体" w:eastAsia="楷体" w:cs="楷体"/>
                <w:b w:val="0"/>
                <w:bCs w:val="0"/>
                <w:color w:val="auto"/>
                <w:sz w:val="21"/>
                <w:szCs w:val="21"/>
              </w:rPr>
              <w:t>人，白班生产，无倒班情况</w:t>
            </w:r>
          </w:p>
        </w:tc>
        <w:tc>
          <w:tcPr>
            <w:tcW w:w="709" w:type="dxa"/>
          </w:tcPr>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管理方针和目标的适宜性</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5.2     6.2</w:t>
            </w:r>
          </w:p>
        </w:tc>
        <w:tc>
          <w:tcPr>
            <w:tcW w:w="11490" w:type="dxa"/>
          </w:tcPr>
          <w:p>
            <w:pPr>
              <w:adjustRightInd w:val="0"/>
              <w:snapToGrid w:val="0"/>
              <w:spacing w:line="3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公司质量方针：</w:t>
            </w:r>
          </w:p>
          <w:p>
            <w:pPr>
              <w:rPr>
                <w:rFonts w:hint="eastAsia" w:ascii="楷体" w:hAnsi="楷体" w:eastAsia="楷体" w:cs="楷体"/>
                <w:b w:val="0"/>
                <w:bCs w:val="0"/>
                <w:color w:val="auto"/>
                <w:sz w:val="21"/>
                <w:szCs w:val="21"/>
              </w:rPr>
            </w:pPr>
            <w:r>
              <w:rPr>
                <w:rFonts w:hint="eastAsia" w:ascii="楷体" w:hAnsi="楷体" w:eastAsia="楷体" w:cs="楷体"/>
                <w:b w:val="0"/>
                <w:bCs w:val="0"/>
                <w:sz w:val="21"/>
                <w:szCs w:val="21"/>
              </w:rPr>
              <w:t>质量为本</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信誉至上，持续改进，争创一流，满足要求</w:t>
            </w:r>
          </w:p>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方针与企业的经营宗旨相适应，协调一致；通过会议传达，沟通，让全体员工理解执行。并定期进行评审（一般一年一次）。</w:t>
            </w: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lang w:val="en-US" w:eastAsia="zh-CN"/>
              </w:rPr>
              <w:t>管理</w:t>
            </w:r>
            <w:r>
              <w:rPr>
                <w:rFonts w:hint="eastAsia" w:ascii="楷体" w:hAnsi="楷体" w:eastAsia="楷体" w:cs="楷体"/>
                <w:b w:val="0"/>
                <w:bCs w:val="0"/>
                <w:color w:val="auto"/>
                <w:sz w:val="21"/>
                <w:szCs w:val="21"/>
              </w:rPr>
              <w:t>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其中质量目标</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 xml:space="preserve">                    完成情况</w:t>
            </w:r>
            <w:r>
              <w:rPr>
                <w:rFonts w:hint="eastAsia" w:ascii="楷体" w:hAnsi="楷体" w:eastAsia="楷体" w:cs="楷体"/>
                <w:b w:val="0"/>
                <w:bCs w:val="0"/>
                <w:color w:val="auto"/>
                <w:sz w:val="21"/>
                <w:szCs w:val="21"/>
              </w:rPr>
              <w:t xml:space="preserve"> </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2021.4.1</w:t>
            </w:r>
            <w:r>
              <w:rPr>
                <w:rFonts w:hint="eastAsia" w:ascii="楷体" w:hAnsi="楷体" w:eastAsia="楷体" w:cs="楷体"/>
                <w:b w:val="0"/>
                <w:bCs w:val="0"/>
                <w:color w:val="auto"/>
                <w:sz w:val="21"/>
                <w:szCs w:val="21"/>
                <w:lang w:eastAsia="zh-CN"/>
              </w:rPr>
              <w:t>）</w:t>
            </w:r>
          </w:p>
          <w:p>
            <w:pPr>
              <w:keepNext w:val="0"/>
              <w:keepLines w:val="0"/>
              <w:widowControl/>
              <w:suppressLineNumbers w:val="0"/>
              <w:ind w:firstLine="420" w:firstLineChars="200"/>
              <w:jc w:val="left"/>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 xml:space="preserve">                        100%</w:t>
            </w:r>
          </w:p>
          <w:p>
            <w:pPr>
              <w:numPr>
                <w:ilvl w:val="0"/>
                <w:numId w:val="0"/>
              </w:numPr>
              <w:spacing w:line="240" w:lineRule="auto"/>
              <w:ind w:firstLine="420" w:firstLineChars="2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rPr>
              <w:t>9</w:t>
            </w: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以上</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 xml:space="preserve">                    100%</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基本符合标准要求。在方针框架下展开，并分解到各职能部门。</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内审、管理评审策划和实施的符合性及可信性</w:t>
            </w: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9.2</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9.3</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3</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10</w:t>
            </w:r>
            <w:r>
              <w:rPr>
                <w:rFonts w:hint="eastAsia" w:ascii="楷体" w:hAnsi="楷体" w:eastAsia="楷体" w:cs="楷体"/>
                <w:b w:val="0"/>
                <w:bCs w:val="0"/>
                <w:color w:val="auto"/>
                <w:sz w:val="21"/>
                <w:szCs w:val="21"/>
              </w:rPr>
              <w:t>日进行内部审核，提供内部审核计划、内审检查表、不合格报告、内部质量管理体系审核报告等，基本符合要求。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3</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15</w:t>
            </w:r>
            <w:r>
              <w:rPr>
                <w:rFonts w:hint="eastAsia" w:ascii="楷体" w:hAnsi="楷体" w:eastAsia="楷体" w:cs="楷体"/>
                <w:b w:val="0"/>
                <w:bCs w:val="0"/>
                <w:color w:val="auto"/>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确定第二阶段</w:t>
            </w:r>
          </w:p>
          <w:p>
            <w:pPr>
              <w:rPr>
                <w:rFonts w:hint="eastAsia" w:ascii="楷体" w:hAnsi="楷体" w:eastAsia="楷体" w:cs="楷体"/>
                <w:b w:val="0"/>
                <w:bCs w:val="0"/>
                <w:color w:val="auto"/>
                <w:sz w:val="21"/>
                <w:szCs w:val="21"/>
              </w:rPr>
            </w:pPr>
          </w:p>
        </w:tc>
        <w:tc>
          <w:tcPr>
            <w:tcW w:w="869" w:type="dxa"/>
          </w:tcPr>
          <w:p>
            <w:pPr>
              <w:rPr>
                <w:rFonts w:hint="eastAsia" w:ascii="楷体" w:hAnsi="楷体" w:eastAsia="楷体" w:cs="楷体"/>
                <w:b w:val="0"/>
                <w:bCs w:val="0"/>
                <w:color w:val="auto"/>
                <w:sz w:val="21"/>
                <w:szCs w:val="21"/>
              </w:rPr>
            </w:pPr>
          </w:p>
        </w:tc>
        <w:tc>
          <w:tcPr>
            <w:tcW w:w="11490" w:type="dxa"/>
          </w:tcPr>
          <w:p>
            <w:pPr>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第二阶段审核所需资源的配置较充分。</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商定第二阶段审核时间：202</w:t>
            </w:r>
            <w:r>
              <w:rPr>
                <w:rFonts w:hint="eastAsia" w:ascii="楷体" w:hAnsi="楷体" w:eastAsia="楷体" w:cs="楷体"/>
                <w:b w:val="0"/>
                <w:bCs w:val="0"/>
                <w:color w:val="auto"/>
                <w:sz w:val="21"/>
                <w:szCs w:val="21"/>
                <w:lang w:val="en-US" w:eastAsia="zh-CN"/>
              </w:rPr>
              <w:t>1</w:t>
            </w:r>
            <w:r>
              <w:rPr>
                <w:rFonts w:hint="eastAsia" w:ascii="楷体" w:hAnsi="楷体" w:eastAsia="楷体" w:cs="楷体"/>
                <w:b w:val="0"/>
                <w:bCs w:val="0"/>
                <w:color w:val="auto"/>
                <w:sz w:val="21"/>
                <w:szCs w:val="21"/>
              </w:rPr>
              <w:t>年</w:t>
            </w:r>
            <w:r>
              <w:rPr>
                <w:rFonts w:hint="eastAsia" w:ascii="楷体" w:hAnsi="楷体" w:eastAsia="楷体" w:cs="楷体"/>
                <w:b w:val="0"/>
                <w:bCs w:val="0"/>
                <w:color w:val="auto"/>
                <w:sz w:val="21"/>
                <w:szCs w:val="21"/>
                <w:lang w:val="en-US" w:eastAsia="zh-CN"/>
              </w:rPr>
              <w:t>6</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9-10</w:t>
            </w:r>
            <w:r>
              <w:rPr>
                <w:rFonts w:hint="eastAsia" w:ascii="楷体" w:hAnsi="楷体" w:eastAsia="楷体" w:cs="楷体"/>
                <w:b w:val="0"/>
                <w:bCs w:val="0"/>
                <w:color w:val="auto"/>
                <w:sz w:val="21"/>
                <w:szCs w:val="21"/>
              </w:rPr>
              <w:t>日</w:t>
            </w:r>
          </w:p>
        </w:tc>
        <w:tc>
          <w:tcPr>
            <w:tcW w:w="709" w:type="dxa"/>
          </w:tcPr>
          <w:p>
            <w:pPr>
              <w:rPr>
                <w:rFonts w:hint="eastAsia" w:ascii="楷体" w:hAnsi="楷体" w:eastAsia="楷体" w:cs="楷体"/>
                <w:b w:val="0"/>
                <w:bCs w:val="0"/>
                <w:color w:val="auto"/>
                <w:sz w:val="21"/>
                <w:szCs w:val="21"/>
              </w:rPr>
            </w:pPr>
          </w:p>
        </w:tc>
      </w:tr>
    </w:tbl>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69"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490"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主管领导：</w:t>
            </w:r>
            <w:r>
              <w:rPr>
                <w:rFonts w:hint="eastAsia" w:ascii="楷体" w:hAnsi="楷体" w:eastAsia="楷体" w:cs="楷体"/>
                <w:b w:val="0"/>
                <w:bCs w:val="0"/>
                <w:sz w:val="21"/>
                <w:szCs w:val="21"/>
                <w:lang w:val="en-US" w:eastAsia="zh-CN"/>
              </w:rPr>
              <w:t>白艳</w:t>
            </w:r>
            <w:r>
              <w:rPr>
                <w:rFonts w:hint="eastAsia" w:ascii="楷体" w:hAnsi="楷体" w:eastAsia="楷体" w:cs="楷体"/>
                <w:b w:val="0"/>
                <w:bCs w:val="0"/>
                <w:sz w:val="21"/>
                <w:szCs w:val="21"/>
              </w:rPr>
              <w:t xml:space="preserve">          陪同人员：</w:t>
            </w:r>
          </w:p>
        </w:tc>
        <w:tc>
          <w:tcPr>
            <w:tcW w:w="709"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bidi w:val="0"/>
              <w:rPr>
                <w:rFonts w:hint="eastAsia" w:ascii="楷体" w:hAnsi="楷体" w:eastAsia="楷体" w:cs="楷体"/>
                <w:b w:val="0"/>
                <w:bCs w:val="0"/>
                <w:sz w:val="21"/>
                <w:szCs w:val="21"/>
              </w:rPr>
            </w:pPr>
          </w:p>
        </w:tc>
        <w:tc>
          <w:tcPr>
            <w:tcW w:w="869" w:type="dxa"/>
            <w:vMerge w:val="continue"/>
            <w:vAlign w:val="center"/>
          </w:tcPr>
          <w:p>
            <w:pPr>
              <w:bidi w:val="0"/>
              <w:rPr>
                <w:rFonts w:hint="eastAsia" w:ascii="楷体" w:hAnsi="楷体" w:eastAsia="楷体" w:cs="楷体"/>
                <w:b w:val="0"/>
                <w:bCs w:val="0"/>
                <w:sz w:val="21"/>
                <w:szCs w:val="21"/>
              </w:rPr>
            </w:pPr>
          </w:p>
        </w:tc>
        <w:tc>
          <w:tcPr>
            <w:tcW w:w="11490"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审核员：周文廷    米素军                 审核时间：202</w:t>
            </w:r>
            <w:r>
              <w:rPr>
                <w:rFonts w:hint="eastAsia" w:ascii="楷体" w:hAnsi="楷体" w:eastAsia="楷体" w:cs="楷体"/>
                <w:b w:val="0"/>
                <w:bCs w:val="0"/>
                <w:sz w:val="21"/>
                <w:szCs w:val="21"/>
                <w:lang w:val="en-US" w:eastAsia="zh-CN"/>
              </w:rPr>
              <w:t>1.6.6</w:t>
            </w:r>
          </w:p>
        </w:tc>
        <w:tc>
          <w:tcPr>
            <w:tcW w:w="709" w:type="dxa"/>
            <w:vMerge w:val="continue"/>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bidi w:val="0"/>
              <w:rPr>
                <w:rFonts w:hint="eastAsia" w:ascii="楷体" w:hAnsi="楷体" w:eastAsia="楷体" w:cs="楷体"/>
                <w:b w:val="0"/>
                <w:bCs w:val="0"/>
                <w:sz w:val="21"/>
                <w:szCs w:val="21"/>
              </w:rPr>
            </w:pPr>
          </w:p>
        </w:tc>
        <w:tc>
          <w:tcPr>
            <w:tcW w:w="869" w:type="dxa"/>
            <w:vMerge w:val="continue"/>
            <w:vAlign w:val="center"/>
          </w:tcPr>
          <w:p>
            <w:pPr>
              <w:bidi w:val="0"/>
              <w:rPr>
                <w:rFonts w:hint="eastAsia" w:ascii="楷体" w:hAnsi="楷体" w:eastAsia="楷体" w:cs="楷体"/>
                <w:b w:val="0"/>
                <w:bCs w:val="0"/>
                <w:sz w:val="21"/>
                <w:szCs w:val="21"/>
              </w:rPr>
            </w:pPr>
          </w:p>
        </w:tc>
        <w:tc>
          <w:tcPr>
            <w:tcW w:w="11490"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审核条款：7.1.2/7.1.6/7.5</w:t>
            </w:r>
          </w:p>
        </w:tc>
        <w:tc>
          <w:tcPr>
            <w:tcW w:w="709" w:type="dxa"/>
            <w:vMerge w:val="continue"/>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人员、组织的知识、体系文件的建立</w:t>
            </w:r>
          </w:p>
        </w:tc>
        <w:tc>
          <w:tcPr>
            <w:tcW w:w="869" w:type="dxa"/>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7.1.2/7.1.6/7.5</w:t>
            </w:r>
          </w:p>
        </w:tc>
        <w:tc>
          <w:tcPr>
            <w:tcW w:w="11490" w:type="dxa"/>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目前企业拥有职工</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人，包括管理人员</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人、生产人员、业务人员等。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策划了公司管理体系文件，包括以下层次：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1.质量手册</w:t>
            </w:r>
            <w:r>
              <w:rPr>
                <w:rFonts w:hint="eastAsia" w:ascii="楷体" w:hAnsi="楷体" w:eastAsia="楷体" w:cs="楷体"/>
                <w:b w:val="0"/>
                <w:bCs w:val="0"/>
                <w:sz w:val="21"/>
                <w:szCs w:val="21"/>
                <w:lang w:val="en-US" w:eastAsia="zh-CN"/>
              </w:rPr>
              <w:t>QMS/SC</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楷体" w:hAnsi="楷体" w:eastAsia="楷体" w:cs="楷体"/>
                <w:b w:val="0"/>
                <w:bCs w:val="0"/>
                <w:sz w:val="21"/>
                <w:szCs w:val="21"/>
              </w:rPr>
              <w:t xml:space="preserve"> ，202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日发表实施（含质量方针、目标）</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val="en-US" w:eastAsia="zh-CN"/>
              </w:rPr>
              <w:t>程序文件QMS/CX</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2021</w:t>
            </w:r>
            <w:r>
              <w:rPr>
                <w:rFonts w:hint="eastAsia" w:ascii="楷体" w:hAnsi="楷体" w:eastAsia="楷体" w:cs="楷体"/>
                <w:b w:val="0"/>
                <w:bCs w:val="0"/>
                <w:sz w:val="21"/>
                <w:szCs w:val="21"/>
              </w:rPr>
              <w:t xml:space="preserve"> 版本号：</w:t>
            </w:r>
            <w:r>
              <w:rPr>
                <w:rFonts w:hint="eastAsia" w:ascii="楷体" w:hAnsi="楷体" w:eastAsia="楷体" w:cs="楷体"/>
                <w:b w:val="0"/>
                <w:bCs w:val="0"/>
                <w:sz w:val="21"/>
                <w:szCs w:val="21"/>
                <w:lang w:val="en-US" w:eastAsia="zh-CN"/>
              </w:rPr>
              <w:t>A1</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，2021年1月1日发表实施，含17</w:t>
            </w:r>
            <w:r>
              <w:rPr>
                <w:rFonts w:hint="eastAsia" w:ascii="楷体" w:hAnsi="楷体" w:eastAsia="楷体" w:cs="楷体"/>
                <w:b w:val="0"/>
                <w:bCs w:val="0"/>
                <w:sz w:val="21"/>
                <w:szCs w:val="21"/>
              </w:rPr>
              <w:t>个文件，包括标准要求的程序</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3.管理、作业文件汇编，包括：岗位人员任职要求、质量目标统计分析考核办法、公司设施管理规定等。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4.体系运行所需要的记录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成文信息管理目前基本满足要求。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编制了文件控制程序，用于对管理体系文件的管理</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对外来文件进行了识别收集，现场提供有《外来文件清单》包括产品质量法、</w:t>
            </w:r>
            <w:r>
              <w:rPr>
                <w:rFonts w:hint="eastAsia" w:ascii="楷体" w:hAnsi="楷体" w:eastAsia="楷体" w:cs="楷体"/>
                <w:b w:val="0"/>
                <w:bCs w:val="0"/>
                <w:sz w:val="21"/>
                <w:szCs w:val="21"/>
                <w:lang w:val="en-US" w:eastAsia="zh-CN"/>
              </w:rPr>
              <w:t>民典法</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食品安全法等及相关标准规范：</w:t>
            </w:r>
          </w:p>
          <w:p>
            <w:pPr>
              <w:pStyle w:val="2"/>
              <w:rPr>
                <w:rFonts w:hint="eastAsia" w:ascii="楷体" w:hAnsi="楷体" w:eastAsia="楷体" w:cs="楷体"/>
                <w:lang w:val="en-US" w:eastAsia="zh-CN"/>
              </w:rPr>
            </w:pPr>
            <w:r>
              <w:rPr>
                <w:rFonts w:hint="eastAsia" w:ascii="楷体" w:hAnsi="楷体" w:eastAsia="楷体" w:cs="楷体"/>
                <w:lang w:val="en-US" w:eastAsia="zh-CN"/>
              </w:rPr>
              <w:t>食品召回管理办法</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质量管理体系要求 GB/T19001-2016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经常上网查询，以更新最新版本</w:t>
            </w:r>
          </w:p>
        </w:tc>
        <w:tc>
          <w:tcPr>
            <w:tcW w:w="709" w:type="dxa"/>
          </w:tcPr>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tc>
      </w:tr>
    </w:tbl>
    <w:p>
      <w:pPr>
        <w:spacing w:line="480" w:lineRule="exact"/>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hint="eastAsia" w:ascii="隶书" w:hAnsi="宋体" w:eastAsia="隶书"/>
          <w:bCs/>
          <w:color w:val="000000"/>
          <w:sz w:val="36"/>
          <w:szCs w:val="36"/>
        </w:rPr>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过程与活动、</w:t>
            </w:r>
          </w:p>
          <w:p>
            <w:pPr>
              <w:jc w:val="cente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抽样计划</w:t>
            </w:r>
          </w:p>
        </w:tc>
        <w:tc>
          <w:tcPr>
            <w:tcW w:w="86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涉及</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条款</w:t>
            </w:r>
          </w:p>
        </w:tc>
        <w:tc>
          <w:tcPr>
            <w:tcW w:w="11490" w:type="dxa"/>
            <w:vAlign w:val="center"/>
          </w:tcPr>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受审核部门：生产部</w:t>
            </w:r>
            <w:r>
              <w:rPr>
                <w:rFonts w:hint="eastAsia" w:ascii="楷体" w:hAnsi="楷体" w:eastAsia="楷体" w:cs="楷体"/>
                <w:b w:val="0"/>
                <w:bCs w:val="0"/>
                <w:color w:val="auto"/>
                <w:sz w:val="21"/>
                <w:szCs w:val="21"/>
                <w:lang w:val="en-US" w:eastAsia="zh-CN"/>
              </w:rPr>
              <w:t>/质检部</w:t>
            </w:r>
            <w:r>
              <w:rPr>
                <w:rFonts w:hint="eastAsia" w:ascii="楷体" w:hAnsi="楷体" w:eastAsia="楷体" w:cs="楷体"/>
                <w:b w:val="0"/>
                <w:bCs w:val="0"/>
                <w:color w:val="auto"/>
                <w:sz w:val="21"/>
                <w:szCs w:val="21"/>
              </w:rPr>
              <w:t xml:space="preserve">       主管领导： </w:t>
            </w:r>
            <w:r>
              <w:rPr>
                <w:rFonts w:hint="eastAsia" w:ascii="楷体" w:hAnsi="楷体" w:eastAsia="楷体" w:cs="楷体"/>
                <w:b w:val="0"/>
                <w:bCs w:val="0"/>
                <w:color w:val="auto"/>
                <w:sz w:val="21"/>
                <w:szCs w:val="21"/>
                <w:lang w:val="en-US" w:eastAsia="zh-CN"/>
              </w:rPr>
              <w:t>董磊/王李强</w:t>
            </w:r>
            <w:r>
              <w:rPr>
                <w:rFonts w:hint="eastAsia" w:ascii="楷体" w:hAnsi="楷体" w:eastAsia="楷体" w:cs="楷体"/>
                <w:b w:val="0"/>
                <w:bCs w:val="0"/>
                <w:color w:val="auto"/>
                <w:sz w:val="21"/>
                <w:szCs w:val="21"/>
              </w:rPr>
              <w:t xml:space="preserve">       陪同人员：</w:t>
            </w:r>
            <w:r>
              <w:rPr>
                <w:rFonts w:hint="eastAsia" w:ascii="楷体" w:hAnsi="楷体" w:eastAsia="楷体" w:cs="楷体"/>
                <w:b w:val="0"/>
                <w:bCs w:val="0"/>
                <w:color w:val="auto"/>
                <w:sz w:val="21"/>
                <w:szCs w:val="21"/>
                <w:lang w:val="en-US" w:eastAsia="zh-CN"/>
              </w:rPr>
              <w:t>白燕</w:t>
            </w:r>
          </w:p>
        </w:tc>
        <w:tc>
          <w:tcPr>
            <w:tcW w:w="709" w:type="dxa"/>
            <w:vMerge w:val="restart"/>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spacing w:before="120"/>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 xml:space="preserve">审核员：周文廷     </w:t>
            </w:r>
            <w:r>
              <w:rPr>
                <w:rFonts w:hint="eastAsia" w:ascii="楷体" w:hAnsi="楷体" w:eastAsia="楷体" w:cs="楷体"/>
                <w:b w:val="0"/>
                <w:bCs w:val="0"/>
                <w:sz w:val="21"/>
                <w:szCs w:val="21"/>
              </w:rPr>
              <w:t>米素军</w:t>
            </w:r>
            <w:r>
              <w:rPr>
                <w:rFonts w:hint="eastAsia" w:ascii="楷体" w:hAnsi="楷体" w:eastAsia="楷体" w:cs="楷体"/>
                <w:b w:val="0"/>
                <w:bCs w:val="0"/>
                <w:color w:val="auto"/>
                <w:sz w:val="21"/>
                <w:szCs w:val="21"/>
              </w:rPr>
              <w:t xml:space="preserve">            审核时间：202</w:t>
            </w:r>
            <w:r>
              <w:rPr>
                <w:rFonts w:hint="eastAsia" w:ascii="楷体" w:hAnsi="楷体" w:eastAsia="楷体" w:cs="楷体"/>
                <w:b w:val="0"/>
                <w:bCs w:val="0"/>
                <w:color w:val="auto"/>
                <w:sz w:val="21"/>
                <w:szCs w:val="21"/>
                <w:lang w:val="en-US" w:eastAsia="zh-CN"/>
              </w:rPr>
              <w:t>1.6.6</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楷体" w:hAnsi="楷体" w:eastAsia="楷体" w:cs="楷体"/>
                <w:b w:val="0"/>
                <w:bCs w:val="0"/>
                <w:color w:val="auto"/>
                <w:sz w:val="21"/>
                <w:szCs w:val="21"/>
              </w:rPr>
            </w:pPr>
          </w:p>
        </w:tc>
        <w:tc>
          <w:tcPr>
            <w:tcW w:w="869" w:type="dxa"/>
            <w:vMerge w:val="continue"/>
            <w:vAlign w:val="center"/>
          </w:tcPr>
          <w:p>
            <w:pPr>
              <w:rPr>
                <w:rFonts w:hint="eastAsia" w:ascii="楷体" w:hAnsi="楷体" w:eastAsia="楷体" w:cs="楷体"/>
                <w:b w:val="0"/>
                <w:bCs w:val="0"/>
                <w:color w:val="auto"/>
                <w:sz w:val="21"/>
                <w:szCs w:val="21"/>
              </w:rPr>
            </w:pPr>
          </w:p>
        </w:tc>
        <w:tc>
          <w:tcPr>
            <w:tcW w:w="11490"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审核条款：7.1.3/7.1.4/7.1.5/8.1/8.3/8.5.1</w:t>
            </w:r>
          </w:p>
        </w:tc>
        <w:tc>
          <w:tcPr>
            <w:tcW w:w="709" w:type="dxa"/>
            <w:vMerge w:val="continue"/>
          </w:tcPr>
          <w:p>
            <w:pPr>
              <w:rPr>
                <w:rFonts w:hint="eastAsia" w:ascii="楷体" w:hAnsi="楷体" w:eastAsia="楷体" w:cs="楷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人员、组织的知识、体系文件的建立</w:t>
            </w:r>
          </w:p>
        </w:tc>
        <w:tc>
          <w:tcPr>
            <w:tcW w:w="869"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7.1.3/7.1.4/7.1.5/8.1/8.3/8.5.1</w:t>
            </w:r>
          </w:p>
        </w:tc>
        <w:tc>
          <w:tcPr>
            <w:tcW w:w="11490" w:type="dxa"/>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配备有办公</w:t>
            </w:r>
            <w:r>
              <w:rPr>
                <w:rFonts w:hint="eastAsia" w:ascii="楷体" w:hAnsi="楷体" w:eastAsia="楷体" w:cs="楷体"/>
                <w:b w:val="0"/>
                <w:bCs w:val="0"/>
                <w:color w:val="auto"/>
                <w:sz w:val="21"/>
                <w:szCs w:val="21"/>
                <w:lang w:val="en-US" w:eastAsia="zh-CN"/>
              </w:rPr>
              <w:t>区（办公面积100平米）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200平米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排酸库80平米、冷库100平米、速冻库45平米</w:t>
            </w:r>
            <w:r>
              <w:rPr>
                <w:rFonts w:hint="eastAsia" w:ascii="楷体" w:hAnsi="楷体" w:eastAsia="楷体" w:cs="楷体"/>
                <w:b w:val="0"/>
                <w:bCs w:val="0"/>
                <w:color w:val="auto"/>
                <w:sz w:val="21"/>
                <w:szCs w:val="21"/>
              </w:rPr>
              <w:t>等基础设施，</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办公主要设施：电脑、电话、一体机等，满足办公需求。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主要生产设备： 塑料/不锈钢操作台</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定型模具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刀具</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真空包装机等，满足生产需求。</w:t>
            </w:r>
          </w:p>
          <w:p>
            <w:pPr>
              <w:pStyle w:val="2"/>
              <w:rPr>
                <w:rFonts w:hint="default"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特种设备：无</w:t>
            </w:r>
          </w:p>
          <w:p>
            <w:pPr>
              <w:rPr>
                <w:rFonts w:hint="default" w:ascii="楷体" w:hAnsi="楷体" w:eastAsia="楷体" w:cs="楷体"/>
                <w:b w:val="0"/>
                <w:bCs w:val="0"/>
                <w:color w:val="auto"/>
                <w:sz w:val="21"/>
                <w:szCs w:val="21"/>
                <w:lang w:val="en-US"/>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工作环境：</w:t>
            </w: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办公</w:t>
            </w:r>
            <w:r>
              <w:rPr>
                <w:rFonts w:hint="eastAsia" w:ascii="楷体" w:hAnsi="楷体" w:eastAsia="楷体" w:cs="楷体"/>
                <w:b w:val="0"/>
                <w:bCs w:val="0"/>
                <w:color w:val="auto"/>
                <w:sz w:val="21"/>
                <w:szCs w:val="21"/>
                <w:lang w:val="en-US" w:eastAsia="zh-CN"/>
              </w:rPr>
              <w:t>区建筑面积100平米）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切割</w:t>
            </w:r>
            <w:r>
              <w:rPr>
                <w:rFonts w:hint="eastAsia" w:ascii="楷体" w:hAnsi="楷体" w:eastAsia="楷体" w:cs="楷体"/>
                <w:b w:val="0"/>
                <w:bCs w:val="0"/>
                <w:color w:val="auto"/>
                <w:sz w:val="21"/>
                <w:szCs w:val="21"/>
              </w:rPr>
              <w:t>车间</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200平米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温度保持10</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左右</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sz w:val="21"/>
                <w:szCs w:val="21"/>
                <w:lang w:val="en-US" w:eastAsia="zh-CN"/>
              </w:rPr>
              <w:t>排酸库80平米（0-4</w:t>
            </w:r>
            <w:r>
              <w:rPr>
                <w:rFonts w:hint="eastAsia" w:ascii="宋体" w:hAnsi="宋体" w:eastAsia="宋体" w:cs="宋体"/>
                <w:b w:val="0"/>
                <w:bCs w:val="0"/>
                <w:color w:val="auto"/>
                <w:sz w:val="21"/>
                <w:szCs w:val="21"/>
                <w:lang w:val="en-US" w:eastAsia="zh-CN"/>
              </w:rPr>
              <w:t>℃</w:t>
            </w:r>
            <w:r>
              <w:rPr>
                <w:rFonts w:hint="eastAsia" w:ascii="楷体" w:hAnsi="楷体" w:eastAsia="楷体" w:cs="楷体"/>
                <w:b w:val="0"/>
                <w:bCs w:val="0"/>
                <w:color w:val="auto"/>
                <w:sz w:val="21"/>
                <w:szCs w:val="21"/>
                <w:lang w:val="en-US" w:eastAsia="zh-CN"/>
              </w:rPr>
              <w:t>）、冷库100平米（-18</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以下</w:t>
            </w:r>
            <w:r>
              <w:rPr>
                <w:rFonts w:hint="eastAsia" w:ascii="楷体" w:hAnsi="楷体" w:eastAsia="楷体" w:cs="楷体"/>
                <w:b w:val="0"/>
                <w:bCs w:val="0"/>
                <w:color w:val="auto"/>
                <w:sz w:val="21"/>
                <w:szCs w:val="21"/>
                <w:lang w:val="en-US" w:eastAsia="zh-CN"/>
              </w:rPr>
              <w:t>）、速冻库45平米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-40</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左右</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等基础设施，</w:t>
            </w:r>
            <w:r>
              <w:rPr>
                <w:rFonts w:hint="eastAsia" w:ascii="楷体" w:hAnsi="楷体" w:eastAsia="楷体" w:cs="楷体"/>
                <w:b w:val="0"/>
                <w:bCs w:val="0"/>
                <w:color w:val="auto"/>
                <w:sz w:val="21"/>
                <w:szCs w:val="21"/>
                <w:lang w:val="en-US" w:eastAsia="zh-CN"/>
              </w:rPr>
              <w:t>切割车间</w:t>
            </w:r>
            <w:r>
              <w:rPr>
                <w:rFonts w:hint="eastAsia" w:ascii="楷体" w:hAnsi="楷体" w:eastAsia="楷体" w:cs="楷体"/>
                <w:b w:val="0"/>
                <w:bCs w:val="0"/>
                <w:color w:val="auto"/>
                <w:sz w:val="21"/>
                <w:szCs w:val="21"/>
              </w:rPr>
              <w:t>卫生</w:t>
            </w:r>
            <w:r>
              <w:rPr>
                <w:rFonts w:hint="eastAsia" w:ascii="楷体" w:hAnsi="楷体" w:eastAsia="楷体" w:cs="楷体"/>
                <w:b w:val="0"/>
                <w:bCs w:val="0"/>
                <w:color w:val="auto"/>
                <w:sz w:val="21"/>
                <w:szCs w:val="21"/>
                <w:lang w:eastAsia="zh-CN"/>
              </w:rPr>
              <w:t>较</w:t>
            </w:r>
            <w:r>
              <w:rPr>
                <w:rFonts w:hint="eastAsia" w:ascii="楷体" w:hAnsi="楷体" w:eastAsia="楷体" w:cs="楷体"/>
                <w:b w:val="0"/>
                <w:bCs w:val="0"/>
                <w:color w:val="auto"/>
                <w:sz w:val="21"/>
                <w:szCs w:val="21"/>
              </w:rPr>
              <w:t>整洁</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封闭管理，员工穿戴工服</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按规定换洗消毒，食品级塑料切割操作台卫生整洁，工作环境符合要求。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办公环境：环境整洁，配备有空调，</w:t>
            </w:r>
          </w:p>
          <w:p>
            <w:pPr>
              <w:rPr>
                <w:rFonts w:hint="eastAsia" w:ascii="楷体" w:hAnsi="楷体" w:eastAsia="楷体" w:cs="楷体"/>
                <w:b w:val="0"/>
                <w:bCs w:val="0"/>
                <w:color w:val="0000FF"/>
                <w:sz w:val="21"/>
                <w:szCs w:val="21"/>
                <w:highlight w:val="yellow"/>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检验检测设备：电子台秤</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lang w:val="en-US" w:eastAsia="zh-CN"/>
              </w:rPr>
              <w:t>烘箱、温控仪、瘦肉精试纸</w:t>
            </w:r>
            <w:r>
              <w:rPr>
                <w:rFonts w:hint="eastAsia" w:ascii="楷体" w:hAnsi="楷体" w:eastAsia="楷体" w:cs="楷体"/>
                <w:b w:val="0"/>
                <w:bCs w:val="0"/>
                <w:color w:val="auto"/>
                <w:sz w:val="21"/>
                <w:szCs w:val="21"/>
              </w:rPr>
              <w:t>等，满足检验需求。</w:t>
            </w:r>
          </w:p>
          <w:p>
            <w:pPr>
              <w:pStyle w:val="2"/>
              <w:spacing w:line="440" w:lineRule="exact"/>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产品依据国家标准、行业规范生产检验，工艺成熟，技术稳定。企业确保不因删减影响本企业提供满足顾客和适用的法规要求的产品的能力，也不免除本企业相关责任。</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sym w:font="Wingdings 2" w:char="F098"/>
            </w:r>
            <w:r>
              <w:rPr>
                <w:rFonts w:hint="eastAsia" w:ascii="楷体" w:hAnsi="楷体" w:eastAsia="楷体" w:cs="楷体"/>
                <w:b w:val="0"/>
                <w:bCs w:val="0"/>
                <w:color w:val="auto"/>
                <w:sz w:val="21"/>
                <w:szCs w:val="21"/>
                <w:lang w:val="en-US" w:eastAsia="zh-CN"/>
              </w:rPr>
              <w:t>过程控制</w:t>
            </w:r>
          </w:p>
          <w:p>
            <w:pPr>
              <w:numPr>
                <w:ilvl w:val="0"/>
                <w:numId w:val="1"/>
              </w:numPr>
              <w:spacing w:line="240" w:lineRule="auto"/>
              <w:rPr>
                <w:rFonts w:hint="eastAsia" w:ascii="楷体" w:hAnsi="楷体" w:eastAsia="楷体" w:cs="楷体"/>
                <w:b w:val="0"/>
                <w:bCs w:val="0"/>
                <w:color w:val="auto"/>
                <w:sz w:val="21"/>
                <w:szCs w:val="21"/>
                <w:lang w:eastAsia="zh-CN"/>
              </w:rPr>
            </w:pPr>
            <w:r>
              <w:rPr>
                <w:rFonts w:hint="eastAsia" w:ascii="楷体" w:hAnsi="楷体" w:eastAsia="楷体" w:cs="楷体"/>
                <w:b w:val="0"/>
                <w:bCs w:val="0"/>
                <w:color w:val="auto"/>
                <w:sz w:val="21"/>
                <w:szCs w:val="21"/>
              </w:rPr>
              <w:t>建立了质量目标</w:t>
            </w:r>
            <w:r>
              <w:rPr>
                <w:rFonts w:hint="eastAsia" w:ascii="楷体" w:hAnsi="楷体" w:eastAsia="楷体" w:cs="楷体"/>
                <w:b w:val="0"/>
                <w:bCs w:val="0"/>
                <w:color w:val="auto"/>
                <w:sz w:val="21"/>
                <w:szCs w:val="21"/>
                <w:lang w:eastAsia="zh-CN"/>
              </w:rPr>
              <w:t>：</w:t>
            </w:r>
          </w:p>
          <w:p>
            <w:pPr>
              <w:keepNext w:val="0"/>
              <w:keepLines w:val="0"/>
              <w:widowControl/>
              <w:suppressLineNumbers w:val="0"/>
              <w:ind w:firstLine="420" w:firstLineChars="200"/>
              <w:jc w:val="left"/>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bCs/>
                <w:color w:val="000000"/>
                <w:kern w:val="0"/>
                <w:sz w:val="21"/>
                <w:szCs w:val="21"/>
                <w:lang w:val="en-US" w:eastAsia="zh-CN" w:bidi="ar"/>
              </w:rPr>
              <w:t>交货及时率 100%</w:t>
            </w:r>
            <w:r>
              <w:rPr>
                <w:rFonts w:hint="eastAsia" w:ascii="楷体" w:hAnsi="楷体" w:eastAsia="楷体" w:cs="楷体"/>
                <w:b w:val="0"/>
                <w:bCs w:val="0"/>
                <w:sz w:val="21"/>
                <w:szCs w:val="21"/>
                <w:lang w:eastAsia="zh-CN"/>
              </w:rPr>
              <w:t>；</w:t>
            </w:r>
          </w:p>
          <w:p>
            <w:pPr>
              <w:numPr>
                <w:ilvl w:val="0"/>
                <w:numId w:val="0"/>
              </w:numPr>
              <w:spacing w:line="240" w:lineRule="auto"/>
              <w:ind w:firstLine="420" w:firstLineChars="200"/>
              <w:rPr>
                <w:rFonts w:hint="eastAsia" w:ascii="楷体" w:hAnsi="楷体" w:eastAsia="楷体" w:cs="楷体"/>
                <w:color w:val="auto"/>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lang w:eastAsia="zh-CN"/>
              </w:rPr>
              <w:t>相关方</w:t>
            </w:r>
            <w:r>
              <w:rPr>
                <w:rFonts w:hint="eastAsia" w:ascii="楷体" w:hAnsi="楷体" w:eastAsia="楷体" w:cs="楷体"/>
                <w:b w:val="0"/>
                <w:bCs w:val="0"/>
                <w:sz w:val="21"/>
                <w:szCs w:val="21"/>
              </w:rPr>
              <w:t>满意</w:t>
            </w:r>
            <w:r>
              <w:rPr>
                <w:rFonts w:hint="eastAsia" w:ascii="楷体" w:hAnsi="楷体" w:eastAsia="楷体" w:cs="楷体"/>
                <w:b w:val="0"/>
                <w:bCs w:val="0"/>
                <w:sz w:val="21"/>
                <w:szCs w:val="21"/>
                <w:lang w:eastAsia="zh-CN"/>
              </w:rPr>
              <w:t>度</w:t>
            </w:r>
            <w:r>
              <w:rPr>
                <w:rFonts w:hint="eastAsia" w:ascii="楷体" w:hAnsi="楷体" w:eastAsia="楷体" w:cs="楷体"/>
                <w:b w:val="0"/>
                <w:bCs w:val="0"/>
                <w:sz w:val="21"/>
                <w:szCs w:val="21"/>
              </w:rPr>
              <w:t>9</w:t>
            </w: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以上</w:t>
            </w:r>
            <w:r>
              <w:rPr>
                <w:rFonts w:hint="eastAsia" w:ascii="楷体" w:hAnsi="楷体" w:eastAsia="楷体" w:cs="楷体"/>
                <w:b w:val="0"/>
                <w:bCs w:val="0"/>
                <w:sz w:val="21"/>
                <w:szCs w:val="21"/>
                <w:lang w:eastAsia="zh-CN"/>
              </w:rPr>
              <w:t>。</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2、收集的相关法律法规、技术标准：质量法、</w:t>
            </w:r>
            <w:r>
              <w:rPr>
                <w:rFonts w:hint="eastAsia" w:ascii="楷体" w:hAnsi="楷体" w:eastAsia="楷体" w:cs="楷体"/>
                <w:b w:val="0"/>
                <w:bCs w:val="0"/>
                <w:color w:val="auto"/>
                <w:sz w:val="21"/>
                <w:szCs w:val="21"/>
                <w:lang w:val="en-US" w:eastAsia="zh-CN"/>
              </w:rPr>
              <w:t>民典法及相关标准规范：</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质量管理体系要求 GB/T19001-2016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食品安全国家标准 鲜（冻）畜、禽产 品 GB2707-2016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鲜冻分割牛肉 GB/T17238-2008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牛肉等级规格 NY/T676-2010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畜禽肉水分限量 GB18394-2001 </w:t>
            </w:r>
          </w:p>
          <w:p>
            <w:pPr>
              <w:bidi w:val="0"/>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rPr>
              <w:t>牛屠宰操作规程 GB/T19477-20</w:t>
            </w:r>
            <w:r>
              <w:rPr>
                <w:rFonts w:hint="eastAsia" w:ascii="楷体" w:hAnsi="楷体" w:eastAsia="楷体" w:cs="楷体"/>
                <w:b w:val="0"/>
                <w:bCs w:val="0"/>
                <w:sz w:val="21"/>
                <w:szCs w:val="21"/>
                <w:lang w:val="en-US" w:eastAsia="zh-CN"/>
              </w:rPr>
              <w:t>18</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eastAsia="zh-CN"/>
              </w:rPr>
              <w:t>。。。。。。</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3、现场询问了解的产品和服务实现流程为：</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牛的屠宰分割加工：原料</w:t>
            </w:r>
            <w:r>
              <w:rPr>
                <w:rFonts w:hint="eastAsia" w:ascii="楷体" w:hAnsi="楷体" w:eastAsia="楷体" w:cs="楷体"/>
                <w:b w:val="0"/>
                <w:bCs w:val="0"/>
                <w:sz w:val="21"/>
                <w:szCs w:val="21"/>
                <w:lang w:val="en-US" w:eastAsia="zh-CN"/>
              </w:rPr>
              <w:t>(检验检疫合格)</w:t>
            </w:r>
            <w:r>
              <w:rPr>
                <w:rFonts w:hint="eastAsia" w:ascii="楷体" w:hAnsi="楷体" w:eastAsia="楷体" w:cs="楷体"/>
                <w:b w:val="0"/>
                <w:bCs w:val="0"/>
                <w:sz w:val="21"/>
                <w:szCs w:val="21"/>
                <w:lang w:eastAsia="zh-CN"/>
              </w:rPr>
              <w:t>入库</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屠宰</w:t>
            </w:r>
            <w:r>
              <w:rPr>
                <w:rFonts w:hint="eastAsia" w:ascii="楷体" w:hAnsi="楷体" w:eastAsia="楷体" w:cs="楷体"/>
                <w:b w:val="0"/>
                <w:bCs w:val="0"/>
                <w:sz w:val="21"/>
                <w:szCs w:val="21"/>
              </w:rPr>
              <w:t>→排酸→分割→加工→</w:t>
            </w:r>
            <w:r>
              <w:rPr>
                <w:rFonts w:hint="eastAsia" w:ascii="楷体" w:hAnsi="楷体" w:eastAsia="楷体" w:cs="楷体"/>
                <w:b w:val="0"/>
                <w:bCs w:val="0"/>
                <w:sz w:val="21"/>
                <w:szCs w:val="21"/>
                <w:lang w:val="en-US" w:eastAsia="zh-CN"/>
              </w:rPr>
              <w:t>检验</w:t>
            </w:r>
            <w:r>
              <w:rPr>
                <w:rFonts w:hint="eastAsia" w:ascii="楷体" w:hAnsi="楷体" w:eastAsia="楷体" w:cs="楷体"/>
                <w:b w:val="0"/>
                <w:bCs w:val="0"/>
                <w:sz w:val="21"/>
                <w:szCs w:val="21"/>
              </w:rPr>
              <w:t>→包装→冷冻→出库销售</w:t>
            </w:r>
          </w:p>
          <w:p>
            <w:pPr>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lang w:eastAsia="zh-CN"/>
              </w:rPr>
              <w:t>关键过程为：分割、冷冻、</w:t>
            </w:r>
            <w:r>
              <w:rPr>
                <w:rFonts w:hint="eastAsia" w:ascii="楷体" w:hAnsi="楷体" w:eastAsia="楷体" w:cs="楷体"/>
                <w:b w:val="0"/>
                <w:bCs w:val="0"/>
                <w:sz w:val="21"/>
                <w:szCs w:val="21"/>
                <w:lang w:val="en-US" w:eastAsia="zh-CN"/>
              </w:rPr>
              <w:t>检测</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sz w:val="21"/>
                <w:szCs w:val="21"/>
                <w:lang w:eastAsia="zh-CN"/>
              </w:rPr>
              <w:t>特殊过程为：排酸</w:t>
            </w:r>
          </w:p>
          <w:p>
            <w:pPr>
              <w:rPr>
                <w:rFonts w:hint="eastAsia" w:ascii="楷体" w:hAnsi="楷体" w:eastAsia="楷体" w:cs="楷体"/>
                <w:b w:val="0"/>
                <w:bCs w:val="0"/>
                <w:color w:val="auto"/>
                <w:sz w:val="21"/>
                <w:szCs w:val="21"/>
                <w:highlight w:val="yellow"/>
              </w:rPr>
            </w:pPr>
            <w:r>
              <w:rPr>
                <w:rFonts w:hint="eastAsia" w:ascii="楷体" w:hAnsi="楷体" w:eastAsia="楷体" w:cs="楷体"/>
                <w:b w:val="0"/>
                <w:bCs w:val="0"/>
                <w:color w:val="auto"/>
                <w:sz w:val="21"/>
                <w:szCs w:val="21"/>
              </w:rPr>
              <w:t>4、规定了产品和服务实现所需的设备设施、人员等资源要求</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pict>
                <v:line id="Line 19" o:spid="_x0000_s3074"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b w:val="0"/>
                <w:bCs w:val="0"/>
                <w:color w:val="auto"/>
                <w:sz w:val="21"/>
                <w:szCs w:val="21"/>
              </w:rPr>
              <w:t>5、编制了《设备管理制度》、《牛屠宰品质检验规程》</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《销售服务规范》、《顾客满意度调查制度》、《服务质量检查制度》等作业文件。</w:t>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6</w:t>
            </w:r>
            <w:r>
              <w:rPr>
                <w:rFonts w:hint="eastAsia" w:ascii="楷体" w:hAnsi="楷体" w:eastAsia="楷体" w:cs="楷体"/>
                <w:b w:val="0"/>
                <w:bCs w:val="0"/>
                <w:color w:val="auto"/>
                <w:sz w:val="21"/>
                <w:szCs w:val="21"/>
              </w:rPr>
              <w:t>、外包过程：</w:t>
            </w:r>
            <w:r>
              <w:rPr>
                <w:rFonts w:hint="eastAsia" w:ascii="楷体" w:hAnsi="楷体" w:eastAsia="楷体" w:cs="楷体"/>
                <w:b w:val="0"/>
                <w:bCs w:val="0"/>
                <w:color w:val="auto"/>
                <w:sz w:val="21"/>
                <w:szCs w:val="21"/>
                <w:lang w:val="en-US" w:eastAsia="zh-CN"/>
              </w:rPr>
              <w:t>菌落总数、大肠菌群、挥发性盐基氮的检测</w:t>
            </w:r>
          </w:p>
        </w:tc>
        <w:tc>
          <w:tcPr>
            <w:tcW w:w="709" w:type="dxa"/>
          </w:tcPr>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p>
            <w:pPr>
              <w:rPr>
                <w:rFonts w:hint="eastAsia" w:ascii="楷体" w:hAnsi="楷体" w:eastAsia="楷体" w:cs="楷体"/>
                <w:b w:val="0"/>
                <w:bCs w:val="0"/>
                <w:color w:val="auto"/>
                <w:sz w:val="21"/>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Light"/>
    <w:panose1 w:val="02010509060101010101"/>
    <w:charset w:val="86"/>
    <w:family w:val="modern"/>
    <w:pitch w:val="default"/>
    <w:sig w:usb0="00000000" w:usb1="00000000" w:usb2="0000001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A4BD0"/>
    <w:multiLevelType w:val="singleLevel"/>
    <w:tmpl w:val="E44A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50785"/>
    <w:rsid w:val="00067B35"/>
    <w:rsid w:val="001003E0"/>
    <w:rsid w:val="0012740B"/>
    <w:rsid w:val="00132C8E"/>
    <w:rsid w:val="00204CB9"/>
    <w:rsid w:val="00241FB0"/>
    <w:rsid w:val="00242652"/>
    <w:rsid w:val="00280729"/>
    <w:rsid w:val="00314638"/>
    <w:rsid w:val="00323081"/>
    <w:rsid w:val="00326600"/>
    <w:rsid w:val="00387D6F"/>
    <w:rsid w:val="003C5450"/>
    <w:rsid w:val="003F5BD2"/>
    <w:rsid w:val="004568E9"/>
    <w:rsid w:val="00475A89"/>
    <w:rsid w:val="004A6408"/>
    <w:rsid w:val="004D4E37"/>
    <w:rsid w:val="00503F53"/>
    <w:rsid w:val="00522463"/>
    <w:rsid w:val="005F41B2"/>
    <w:rsid w:val="00632D1A"/>
    <w:rsid w:val="00677648"/>
    <w:rsid w:val="006868D8"/>
    <w:rsid w:val="006E262E"/>
    <w:rsid w:val="006E616A"/>
    <w:rsid w:val="00710B61"/>
    <w:rsid w:val="007354B4"/>
    <w:rsid w:val="00754452"/>
    <w:rsid w:val="00783134"/>
    <w:rsid w:val="007D7523"/>
    <w:rsid w:val="008473EB"/>
    <w:rsid w:val="008828F5"/>
    <w:rsid w:val="00885E55"/>
    <w:rsid w:val="008E7390"/>
    <w:rsid w:val="008F42C1"/>
    <w:rsid w:val="00935F38"/>
    <w:rsid w:val="00987D1E"/>
    <w:rsid w:val="0099575D"/>
    <w:rsid w:val="00A516A3"/>
    <w:rsid w:val="00A770C9"/>
    <w:rsid w:val="00A9594E"/>
    <w:rsid w:val="00B10C1F"/>
    <w:rsid w:val="00B30A47"/>
    <w:rsid w:val="00B668F1"/>
    <w:rsid w:val="00B7129D"/>
    <w:rsid w:val="00BB12A6"/>
    <w:rsid w:val="00BF2E0E"/>
    <w:rsid w:val="00C113B3"/>
    <w:rsid w:val="00C1748F"/>
    <w:rsid w:val="00C61A85"/>
    <w:rsid w:val="00CD6D47"/>
    <w:rsid w:val="00CE5738"/>
    <w:rsid w:val="00CE6B72"/>
    <w:rsid w:val="00CF5CDC"/>
    <w:rsid w:val="00D14D7F"/>
    <w:rsid w:val="00D56061"/>
    <w:rsid w:val="00D62600"/>
    <w:rsid w:val="00DA7E49"/>
    <w:rsid w:val="00DF12D0"/>
    <w:rsid w:val="00E01DAA"/>
    <w:rsid w:val="00E22AF8"/>
    <w:rsid w:val="00E25B09"/>
    <w:rsid w:val="00E3020D"/>
    <w:rsid w:val="00E371B7"/>
    <w:rsid w:val="00E42992"/>
    <w:rsid w:val="00E76BC3"/>
    <w:rsid w:val="00EC74A8"/>
    <w:rsid w:val="00F30B3E"/>
    <w:rsid w:val="00F60B43"/>
    <w:rsid w:val="00F82BC7"/>
    <w:rsid w:val="00F95887"/>
    <w:rsid w:val="00FB2262"/>
    <w:rsid w:val="00FD546B"/>
    <w:rsid w:val="00FF4B6B"/>
    <w:rsid w:val="022F0CD0"/>
    <w:rsid w:val="04097C79"/>
    <w:rsid w:val="055511AA"/>
    <w:rsid w:val="056C5C79"/>
    <w:rsid w:val="07157E86"/>
    <w:rsid w:val="13D77A39"/>
    <w:rsid w:val="16505087"/>
    <w:rsid w:val="1AA002A5"/>
    <w:rsid w:val="1C7117E0"/>
    <w:rsid w:val="29E66853"/>
    <w:rsid w:val="2BFD5E4C"/>
    <w:rsid w:val="2EA9647F"/>
    <w:rsid w:val="37AF1F02"/>
    <w:rsid w:val="37C35E16"/>
    <w:rsid w:val="398D1639"/>
    <w:rsid w:val="3AC53FD2"/>
    <w:rsid w:val="471B22C5"/>
    <w:rsid w:val="488B3B79"/>
    <w:rsid w:val="509A7AA0"/>
    <w:rsid w:val="524F0152"/>
    <w:rsid w:val="542B440B"/>
    <w:rsid w:val="554E27EE"/>
    <w:rsid w:val="55AC56D0"/>
    <w:rsid w:val="63640933"/>
    <w:rsid w:val="68675B71"/>
    <w:rsid w:val="6D8A4F61"/>
    <w:rsid w:val="6E9E367C"/>
    <w:rsid w:val="7E697050"/>
    <w:rsid w:val="7F453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szCs w:val="24"/>
    </w:rPr>
  </w:style>
  <w:style w:type="paragraph" w:styleId="3">
    <w:name w:val="Plain Text"/>
    <w:basedOn w:val="1"/>
    <w:link w:val="16"/>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character" w:customStyle="1" w:styleId="15">
    <w:name w:val="纯文本 Char"/>
    <w:link w:val="3"/>
    <w:qFormat/>
    <w:uiPriority w:val="0"/>
    <w:rPr>
      <w:rFonts w:ascii="宋体" w:hAnsi="Courier New" w:cs="Courier New"/>
      <w:kern w:val="2"/>
      <w:sz w:val="24"/>
      <w:szCs w:val="21"/>
    </w:rPr>
  </w:style>
  <w:style w:type="character" w:customStyle="1" w:styleId="16">
    <w:name w:val="纯文本 Char1"/>
    <w:basedOn w:val="8"/>
    <w:link w:val="3"/>
    <w:semiHidden/>
    <w:qFormat/>
    <w:uiPriority w:val="99"/>
    <w:rPr>
      <w:rFonts w:ascii="宋体" w:hAnsi="Courier New" w:eastAsia="宋体" w:cs="Courier New"/>
      <w:kern w:val="2"/>
      <w:sz w:val="21"/>
      <w:szCs w:val="21"/>
    </w:rPr>
  </w:style>
  <w:style w:type="character" w:customStyle="1" w:styleId="17">
    <w:name w:val="正文文本 Char"/>
    <w:basedOn w:val="8"/>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2748</Characters>
  <Lines>22</Lines>
  <Paragraphs>6</Paragraphs>
  <TotalTime>16</TotalTime>
  <ScaleCrop>false</ScaleCrop>
  <LinksUpToDate>false</LinksUpToDate>
  <CharactersWithSpaces>3224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2021-06-09T01:49:28Z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E0A36325C7B34634B37061C907C4B645</vt:lpwstr>
  </property>
</Properties>
</file>