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877"/>
        <w:gridCol w:w="1067"/>
        <w:gridCol w:w="1876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194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江西青桔信息科技有限公司</w:t>
            </w:r>
            <w:bookmarkEnd w:id="3"/>
          </w:p>
        </w:tc>
        <w:tc>
          <w:tcPr>
            <w:tcW w:w="1876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4604" w:type="dxa"/>
            <w:gridSpan w:val="3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Q：34.01.01;34.01.02;35.07.00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E：34.01.01;34.01.02;35.07.00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O：34.01.01;34.01.02;35.07.00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87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刘建兴</w:t>
            </w:r>
          </w:p>
        </w:tc>
        <w:tc>
          <w:tcPr>
            <w:tcW w:w="10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3381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Q：34.01.01;34.01.02;35.07.00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E：34.01.01;34.01.02;35.07.00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O：34.01.01;34.01.02;35.07.00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7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06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温红玲</w:t>
            </w:r>
          </w:p>
        </w:tc>
        <w:tc>
          <w:tcPr>
            <w:tcW w:w="18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87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6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招标→工作实施方案→外业数据采集→成图→项目自检→公司抽检→甲方验收→成果提交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制定作业规程、程序文件、作业指导书，执行GB 50026-2007《工程测量规范》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GB/T50353-2013《建筑工程建筑面积计算规范》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CJJ/T8-2011《城市测量规范》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CH/T2009-2010《全球定位系统实时动态测量（RTK）技术规范》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GB/T20257.1-2007《国家基本比例尺地形图图式第一部分：1：5001：10001：2000地形图图式》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《吉安市建设工程规划管理技术规定（试行）》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《吉安市工程建设项目“多测合一”技术规程》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 xml:space="preserve">提供受过培训的人员、必要的测绘设备和工具、必要的检测设备、必要的办公和储存场所  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r>
              <w:rPr>
                <w:rFonts w:hint="eastAsia"/>
                <w:lang w:val="en-US" w:eastAsia="zh-CN"/>
              </w:rPr>
              <w:t>查编制有《</w:t>
            </w:r>
            <w:r>
              <w:rPr>
                <w:rFonts w:hint="eastAsia"/>
              </w:rPr>
              <w:t>环境与职业健康安全运行控制程序</w:t>
            </w:r>
            <w:r>
              <w:rPr>
                <w:rFonts w:hint="eastAsia"/>
                <w:lang w:eastAsia="zh-CN"/>
              </w:rPr>
              <w:t>》（</w:t>
            </w:r>
            <w:r>
              <w:rPr>
                <w:rFonts w:hint="eastAsia"/>
              </w:rPr>
              <w:t>QJ-CX-16-2020</w:t>
            </w:r>
            <w:r>
              <w:rPr>
                <w:rFonts w:hint="eastAsia"/>
                <w:lang w:eastAsia="zh-CN"/>
              </w:rPr>
              <w:t>），</w:t>
            </w:r>
            <w:r>
              <w:rPr>
                <w:rFonts w:hint="eastAsia"/>
              </w:rPr>
              <w:t>本部门应执行的运行控制文件包括：环境运行控制程序，废弃物管理规定、对相关方施加影响管理规定、节能降耗管理规定、消防安全管理制度、综合部安全管理制度、</w:t>
            </w:r>
            <w:r>
              <w:rPr>
                <w:rFonts w:hint="eastAsia"/>
                <w:lang w:val="en-GB"/>
              </w:rPr>
              <w:t>车辆管理规定、电脑使用管理办法</w:t>
            </w:r>
            <w:r>
              <w:rPr>
                <w:rFonts w:hint="eastAsia"/>
              </w:rPr>
              <w:t>等。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1"/>
              <w:gridCol w:w="2881"/>
              <w:gridCol w:w="306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宋体" w:hAnsi="宋体"/>
                      <w:kern w:val="2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主要环境因素</w:t>
                  </w:r>
                </w:p>
              </w:tc>
              <w:tc>
                <w:tcPr>
                  <w:tcW w:w="288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状态</w:t>
                  </w:r>
                </w:p>
              </w:tc>
              <w:tc>
                <w:tcPr>
                  <w:tcW w:w="3069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1" w:type="dxa"/>
                  <w:shd w:val="clear" w:color="auto" w:fill="auto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发生火灾</w:t>
                  </w:r>
                </w:p>
              </w:tc>
              <w:tc>
                <w:tcPr>
                  <w:tcW w:w="288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4"/>
                      <w:lang w:val="en-GB" w:eastAsia="zh-CN" w:bidi="ar-SA"/>
                    </w:rPr>
                  </w:pP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306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加强日常消防检查，预防明火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156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固废的排放</w:t>
                  </w:r>
                </w:p>
              </w:tc>
              <w:tc>
                <w:tcPr>
                  <w:tcW w:w="288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/>
                      <w:color w:val="000000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306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ascii="宋体" w:hAnsi="宋体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  <w:t>集中收集、</w:t>
                  </w:r>
                  <w:r>
                    <w:rPr>
                      <w:rFonts w:hint="eastAsia" w:ascii="宋体" w:hAnsi="宋体"/>
                      <w:szCs w:val="20"/>
                    </w:rPr>
                    <w:t>按照规定废品回收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tbl>
            <w:tblPr>
              <w:tblStyle w:val="4"/>
              <w:tblW w:w="4999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79"/>
              <w:gridCol w:w="1799"/>
              <w:gridCol w:w="521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9" w:type="pc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vertAlign w:val="baseline"/>
                      <w:lang w:val="en-US" w:eastAsia="zh-CN"/>
                    </w:rPr>
                    <w:t>重要危险源</w:t>
                  </w:r>
                </w:p>
              </w:tc>
              <w:tc>
                <w:tcPr>
                  <w:tcW w:w="1097" w:type="pc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  <w:t>职业健康安全风险</w:t>
                  </w:r>
                </w:p>
              </w:tc>
              <w:tc>
                <w:tcPr>
                  <w:tcW w:w="3182" w:type="pc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rPr>
                      <w:rFonts w:hint="default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vertAlign w:val="baseline"/>
                      <w:lang w:val="en-US" w:eastAsia="zh-CN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9" w:type="pc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eastAsia="宋体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安全用电</w:t>
                  </w:r>
                </w:p>
              </w:tc>
              <w:tc>
                <w:tcPr>
                  <w:tcW w:w="1097" w:type="pc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触电</w:t>
                  </w:r>
                </w:p>
              </w:tc>
              <w:tc>
                <w:tcPr>
                  <w:tcW w:w="3182" w:type="pct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  <w:t>禁止私拉乱接、加强用电管理，定期检修设备，检查电源线是否老化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9" w:type="pc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火灾</w:t>
                  </w:r>
                </w:p>
              </w:tc>
              <w:tc>
                <w:tcPr>
                  <w:tcW w:w="1097" w:type="pc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default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灼烧</w:t>
                  </w:r>
                </w:p>
              </w:tc>
              <w:tc>
                <w:tcPr>
                  <w:tcW w:w="3182" w:type="pct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default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lang w:val="en-US" w:eastAsia="zh-CN" w:bidi="ar-SA"/>
                    </w:rPr>
                    <w:t>操作现场禁止吸烟，安全用电；对易燃溶剂或物料加强管理；现场配备消防器材；加强人员培训和应急演练；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9" w:type="pc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vertAlign w:val="baseline"/>
                      <w:lang w:val="en-US" w:eastAsia="zh-CN" w:bidi="ar-SA"/>
                    </w:rPr>
                    <w:t>意外伤害</w:t>
                  </w:r>
                </w:p>
              </w:tc>
              <w:tc>
                <w:tcPr>
                  <w:tcW w:w="1097" w:type="pct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color w:val="auto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人身伤害</w:t>
                  </w:r>
                </w:p>
              </w:tc>
              <w:tc>
                <w:tcPr>
                  <w:tcW w:w="3182" w:type="pct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leftChars="0" w:right="0" w:rightChars="0"/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4"/>
                      <w:highlight w:val="none"/>
                      <w:lang w:val="en-US" w:eastAsia="zh-CN" w:bidi="ar-SA"/>
                    </w:rPr>
                    <w:t>定期检修设备防护装置，加强人员培训，特殊岗位和特种作业人员持证上岗，应急准备</w:t>
                  </w:r>
                </w:p>
              </w:tc>
            </w:tr>
          </w:tbl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GB 50026-2007《工程测量规范》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GB/T50353-2013《建筑工程建筑面积计算规范》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CJJ/T8-2011《城市测量规范》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CH/T2009-2010《全球定位系统实时动态测量（RTK）技术规范》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GB/T20257.1-2007《国家基本比例尺地形图图式第一部分：1：5001：10001：2000地形图图式》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《吉安市建设工程规划管理技术规定（试行）》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《吉安市工程建设项目“多测合一”技术规程》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sz w:val="21"/>
          <w:szCs w:val="21"/>
        </w:rPr>
        <w:t>刘建兴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2021.5.29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张磊</w:t>
      </w:r>
      <w:r>
        <w:rPr>
          <w:rFonts w:hint="eastAsia"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2021.5.29</w:t>
      </w:r>
      <w:r>
        <w:rPr>
          <w:rFonts w:hint="eastAsia" w:ascii="宋体"/>
          <w:b/>
          <w:sz w:val="22"/>
          <w:szCs w:val="22"/>
        </w:rPr>
        <w:t xml:space="preserve">     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0F6C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2021-05-29T06:25:13Z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B54B7E05EE4142649358E34F27A06528</vt:lpwstr>
  </property>
</Properties>
</file>