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4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四川乐犍再生资源回收利用有限公司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0521-2019-QE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雷芳蓉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0833-4171900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Q：再生塑料颗粒的加工</w:t>
            </w:r>
          </w:p>
          <w:p>
            <w:r>
              <w:t>E：再生塑料颗粒的加工所涉及相关环境管理活动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Q：12.01.06</w:t>
            </w:r>
          </w:p>
          <w:p>
            <w:r>
              <w:t>E：12.01.06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2019年11月06日 上午至2019年11月06日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E:12.01.06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80" w:type="dxa"/>
            <w:gridSpan w:val="4"/>
            <w:vAlign w:val="center"/>
          </w:tcPr>
          <w:p/>
        </w:tc>
        <w:tc>
          <w:tcPr>
            <w:tcW w:w="13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</w:t>
            </w:r>
            <w:r>
              <w:rPr>
                <w:rFonts w:hint="eastAsia" w:ascii="宋体" w:hAnsi="宋体"/>
                <w:lang w:eastAsia="zh-CN"/>
              </w:rPr>
              <w:t>张心、文平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 xml:space="preserve">:30 - 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的识别、评价和控制情况，并与受审核方共同确认对上述过程、重要环境因素识别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  <w:bookmarkStart w:id="14" w:name="_GoBack"/>
            <w:bookmarkEnd w:id="14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685E"/>
    <w:rsid w:val="2C7974E8"/>
    <w:rsid w:val="374E7A09"/>
    <w:rsid w:val="3EDB6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2019-11-02T03:52:31Z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