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rFonts w:hint="eastAsia" w:ascii="楷体" w:hAnsi="楷体" w:eastAsia="楷体" w:cs="Times New Roman"/>
          <w:color w:val="000000"/>
          <w:sz w:val="28"/>
          <w:szCs w:val="28"/>
        </w:rPr>
      </w:pPr>
      <w:r>
        <w:rPr>
          <w:rFonts w:hint="eastAsia" w:ascii="楷体" w:hAnsi="楷体" w:eastAsia="楷体" w:cs="Times New Roman"/>
          <w:color w:val="000000"/>
          <w:sz w:val="28"/>
          <w:szCs w:val="28"/>
        </w:rPr>
        <w:t xml:space="preserve"> 编  号：</w:t>
      </w:r>
      <w:bookmarkStart w:id="0" w:name="合同编号"/>
      <w:r>
        <w:rPr>
          <w:rFonts w:hint="eastAsia" w:ascii="楷体" w:hAnsi="楷体" w:eastAsia="楷体" w:cs="Times New Roman"/>
          <w:color w:val="000000"/>
          <w:sz w:val="28"/>
          <w:szCs w:val="28"/>
        </w:rPr>
        <w:t>0411-2021-QEO</w:t>
      </w:r>
      <w:bookmarkEnd w:id="0"/>
    </w:p>
    <w:p>
      <w:pPr>
        <w:pStyle w:val="5"/>
        <w:ind w:firstLine="138" w:firstLineChars="49"/>
        <w:jc w:val="right"/>
        <w:rPr>
          <w:rFonts w:hint="eastAsia" w:ascii="楷体" w:hAnsi="楷体" w:eastAsia="楷体" w:cs="Times New Roman"/>
          <w:color w:val="000000"/>
          <w:sz w:val="28"/>
          <w:szCs w:val="28"/>
        </w:rPr>
      </w:pPr>
    </w:p>
    <w:p>
      <w:pPr>
        <w:rPr>
          <w:rFonts w:hint="eastAsia"/>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河北德华医疗器械有限公司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徐红英</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bookmarkStart w:id="5" w:name="审核依据"/>
      <w:r>
        <w:rPr>
          <w:rFonts w:hint="eastAsia" w:ascii="宋体" w:hAnsi="宋体"/>
          <w:b/>
          <w:color w:val="000000" w:themeColor="text1"/>
          <w:spacing w:val="-10"/>
          <w:sz w:val="20"/>
          <w:szCs w:val="20"/>
        </w:rPr>
        <w:t>Q：GB/T19001-2016/ISO9001:2015</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 xml:space="preserve"> 不适用条款: </w:t>
      </w:r>
      <w:r>
        <w:rPr>
          <w:rFonts w:hint="eastAsia" w:ascii="宋体" w:hAnsi="宋体"/>
          <w:b/>
          <w:color w:val="000000" w:themeColor="text1"/>
          <w:spacing w:val="-10"/>
          <w:sz w:val="20"/>
          <w:szCs w:val="20"/>
          <w:lang w:val="en-US" w:eastAsia="zh-CN"/>
        </w:rPr>
        <w:t>8.3</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E：GB/T 24001-2016/ISO14001:2015</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河北德华医疗器械有限公司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石家庄高新区天山大街585号日中天科技园1702</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石家庄高新区天山大街585号日中天科技园1702</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李少飞</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13933033947</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李少飞</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李少飞</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Q：医疗器械和纺织品的销售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E：医疗器械和纺织</w:t>
            </w:r>
            <w:r>
              <w:rPr>
                <w:rFonts w:hint="eastAsia" w:ascii="宋体" w:hAnsi="宋体"/>
                <w:b/>
                <w:color w:val="000000" w:themeColor="text1"/>
                <w:sz w:val="20"/>
                <w:szCs w:val="20"/>
                <w:lang w:val="en-US" w:eastAsia="zh-CN"/>
              </w:rPr>
              <w:t>品</w:t>
            </w:r>
            <w:r>
              <w:rPr>
                <w:rFonts w:ascii="宋体" w:hAnsi="宋体"/>
                <w:b/>
                <w:color w:val="000000" w:themeColor="text1"/>
                <w:sz w:val="20"/>
                <w:szCs w:val="20"/>
              </w:rPr>
              <w:t>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O：医疗器械和纺织品的销售所涉及场所的相关职业健康安全管理活动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综合办公室</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eastAsia"/>
                <w:lang w:eastAsia="zh-CN"/>
              </w:rPr>
            </w:pPr>
            <w:r>
              <w:rPr>
                <w:rFonts w:hint="default"/>
              </w:rPr>
              <w:t>Q</w:t>
            </w:r>
            <w:r>
              <w:rPr>
                <w:rFonts w:hint="default"/>
                <w:lang w:val="en-US" w:eastAsia="zh-CN"/>
              </w:rPr>
              <w:t>5.3</w:t>
            </w:r>
            <w:r>
              <w:rPr>
                <w:rFonts w:hint="default"/>
              </w:rPr>
              <w:t>/</w:t>
            </w:r>
            <w:r>
              <w:rPr>
                <w:rFonts w:hint="eastAsia"/>
                <w:lang w:val="en-US" w:eastAsia="zh-CN"/>
              </w:rPr>
              <w:t>6.2/</w:t>
            </w:r>
            <w:r>
              <w:rPr>
                <w:rFonts w:hint="default"/>
              </w:rPr>
              <w:t>7.1.2</w:t>
            </w:r>
            <w:r>
              <w:rPr>
                <w:rFonts w:hint="eastAsia"/>
                <w:lang w:val="en-US" w:eastAsia="zh-CN"/>
              </w:rPr>
              <w:t>7.1.3</w:t>
            </w:r>
            <w:r>
              <w:rPr>
                <w:rFonts w:hint="default"/>
              </w:rPr>
              <w:t>/</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w:t>
            </w:r>
            <w:r>
              <w:rPr>
                <w:rFonts w:hint="eastAsia" w:ascii="Times New Roman" w:hAnsi="Times New Roman" w:eastAsia="宋体" w:cs="Times New Roman"/>
                <w:sz w:val="21"/>
                <w:szCs w:val="21"/>
                <w:lang w:val="en-US" w:eastAsia="zh-CN"/>
              </w:rPr>
              <w:t>/</w:t>
            </w:r>
            <w:r>
              <w:rPr>
                <w:rFonts w:hint="default"/>
              </w:rPr>
              <w:t>7.1.6</w:t>
            </w:r>
            <w:r>
              <w:rPr>
                <w:rFonts w:hint="eastAsia"/>
                <w:lang w:val="en-US" w:eastAsia="zh-CN"/>
              </w:rPr>
              <w:t>/</w:t>
            </w:r>
            <w:r>
              <w:rPr>
                <w:rFonts w:hint="default"/>
              </w:rPr>
              <w:t>7.2/7.3/7.4/7.5</w:t>
            </w:r>
            <w:r>
              <w:rPr>
                <w:rFonts w:hint="eastAsia"/>
                <w:lang w:val="en-US" w:eastAsia="zh-CN"/>
              </w:rPr>
              <w:t>/</w:t>
            </w:r>
            <w:r>
              <w:rPr>
                <w:rFonts w:hint="default"/>
              </w:rPr>
              <w:t>9.2/10.2</w:t>
            </w:r>
            <w:r>
              <w:rPr>
                <w:rFonts w:hint="eastAsia"/>
                <w:lang w:eastAsia="zh-CN"/>
              </w:rPr>
              <w:t>；</w:t>
            </w:r>
          </w:p>
          <w:p>
            <w:pPr>
              <w:jc w:val="left"/>
            </w:pPr>
            <w:r>
              <w:rPr>
                <w:rFonts w:hint="default"/>
              </w:rPr>
              <w:t>E</w:t>
            </w:r>
            <w:r>
              <w:rPr>
                <w:rFonts w:hint="default"/>
                <w:lang w:val="en-US" w:eastAsia="zh-CN"/>
              </w:rPr>
              <w:t>O5.3/</w:t>
            </w:r>
            <w:r>
              <w:rPr>
                <w:rFonts w:hint="default" w:ascii="Times New Roman" w:hAnsi="Times New Roman" w:eastAsia="宋体" w:cs="Times New Roman"/>
                <w:sz w:val="21"/>
                <w:szCs w:val="21"/>
                <w:lang w:val="en-US" w:eastAsia="zh-CN"/>
              </w:rPr>
              <w:t>6.2/</w:t>
            </w:r>
            <w:r>
              <w:rPr>
                <w:rFonts w:hint="default" w:ascii="Times New Roman" w:hAnsi="Times New Roman" w:eastAsia="宋体" w:cs="Times New Roman"/>
                <w:sz w:val="21"/>
                <w:szCs w:val="21"/>
              </w:rPr>
              <w:t>6.1.2/</w:t>
            </w:r>
            <w:r>
              <w:rPr>
                <w:rFonts w:hint="eastAsia" w:ascii="Times New Roman" w:hAnsi="Times New Roman" w:cs="Times New Roman"/>
                <w:sz w:val="21"/>
                <w:szCs w:val="21"/>
                <w:lang w:val="en-US" w:eastAsia="zh-CN"/>
              </w:rPr>
              <w:t>6.1.3/</w:t>
            </w:r>
            <w:r>
              <w:rPr>
                <w:rFonts w:hint="default"/>
              </w:rPr>
              <w:t>7.2/7.3/7.4/7.5/8.1/8.2/</w:t>
            </w:r>
            <w:r>
              <w:rPr>
                <w:rFonts w:hint="eastAsia" w:ascii="Times New Roman" w:hAnsi="Times New Roman" w:cs="Times New Roman"/>
                <w:sz w:val="21"/>
                <w:szCs w:val="21"/>
                <w:lang w:val="en-US" w:eastAsia="zh-CN"/>
              </w:rPr>
              <w:t>9.1.1</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9.1.2/</w:t>
            </w:r>
            <w:r>
              <w:rPr>
                <w:rFonts w:hint="default"/>
              </w:rPr>
              <w:t>9.2/10.2</w:t>
            </w:r>
            <w:r>
              <w:rPr>
                <w:rFonts w:hint="eastAsia"/>
                <w:lang w:eastAsia="zh-CN"/>
              </w:rPr>
              <w:t>；</w:t>
            </w:r>
            <w:r>
              <w:rPr>
                <w:rFonts w:hint="eastAsia"/>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Q5.3/6.2/8.1/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r>
              <w:rPr>
                <w:rFonts w:hint="eastAsia" w:ascii="Times New Roman" w:hAnsi="Times New Roman" w:cs="Times New Roman"/>
                <w:sz w:val="21"/>
                <w:szCs w:val="21"/>
                <w:lang w:val="en-US" w:eastAsia="zh-CN"/>
              </w:rPr>
              <w:t>；</w:t>
            </w:r>
          </w:p>
          <w:p>
            <w:pPr>
              <w:jc w:val="left"/>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eastAsia"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sz w:val="20"/>
              </w:rPr>
            </w:pPr>
            <w:r>
              <w:rPr>
                <w:sz w:val="20"/>
              </w:rPr>
              <w:t>医疗器械和纺织品的销售</w:t>
            </w:r>
          </w:p>
          <w:p>
            <w:pPr>
              <w:rPr>
                <w:b/>
                <w:color w:val="000000" w:themeColor="text1"/>
                <w:sz w:val="20"/>
                <w:szCs w:val="20"/>
              </w:rPr>
            </w:pP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销售</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p>
          <w:p>
            <w:pPr>
              <w:spacing w:line="240" w:lineRule="exact"/>
              <w:ind w:firstLine="420" w:firstLineChars="200"/>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lang w:eastAsia="zh-CN"/>
              </w:rPr>
            </w:pPr>
            <w:r>
              <w:rPr>
                <w:rFonts w:hint="eastAsia"/>
                <w:b/>
                <w:color w:val="000000" w:themeColor="text1"/>
                <w:sz w:val="20"/>
                <w:szCs w:val="20"/>
              </w:rPr>
              <w:t>相关方需求和期望识别情况</w:t>
            </w:r>
            <w:r>
              <w:rPr>
                <w:rFonts w:hint="eastAsia"/>
                <w:b/>
                <w:color w:val="000000" w:themeColor="text1"/>
                <w:sz w:val="20"/>
                <w:szCs w:val="20"/>
                <w:lang w:eastAsia="zh-CN"/>
              </w:rPr>
              <w:t>：</w:t>
            </w:r>
          </w:p>
          <w:p>
            <w:pPr>
              <w:numPr>
                <w:ilvl w:val="0"/>
                <w:numId w:val="0"/>
              </w:numPr>
              <w:spacing w:line="240" w:lineRule="exact"/>
              <w:ind w:firstLine="420" w:firstLineChars="200"/>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lang w:eastAsia="zh-CN"/>
              </w:rPr>
              <w:t>☑</w:t>
            </w:r>
            <w:r>
              <w:rPr>
                <w:rFonts w:hint="eastAsia"/>
              </w:rPr>
              <w:t>质量/</w:t>
            </w:r>
            <w:r>
              <w:rPr>
                <w:rFonts w:hint="eastAsia"/>
                <w:lang w:eastAsia="zh-CN"/>
              </w:rPr>
              <w:t>☑</w:t>
            </w:r>
            <w:r>
              <w:rPr>
                <w:rFonts w:hint="eastAsia"/>
              </w:rPr>
              <w:t>环境/</w:t>
            </w:r>
            <w:r>
              <w:rPr>
                <w:rFonts w:hint="eastAsia"/>
                <w:lang w:eastAsia="zh-CN"/>
              </w:rPr>
              <w:t>☑</w:t>
            </w:r>
            <w:r>
              <w:rPr>
                <w:rFonts w:hint="eastAsia"/>
              </w:rPr>
              <w:t>职业健康安全方针（组织方针的适宜性/持续适宜性、方针的传达及职工的理解等）</w:t>
            </w:r>
          </w:p>
          <w:p>
            <w:pPr>
              <w:keepNext w:val="0"/>
              <w:keepLines w:val="0"/>
              <w:pageBreakBefore w:val="0"/>
              <w:kinsoku/>
              <w:wordWrap/>
              <w:overflowPunct/>
              <w:topLinePunct w:val="0"/>
              <w:bidi w:val="0"/>
              <w:snapToGrid/>
              <w:spacing w:line="360" w:lineRule="exact"/>
              <w:textAlignment w:val="auto"/>
              <w:rPr>
                <w:rFonts w:hint="eastAsia"/>
                <w:lang w:val="en-US" w:eastAsia="zh-CN"/>
              </w:rPr>
            </w:pPr>
            <w:r>
              <w:rPr>
                <w:rFonts w:hint="eastAsia"/>
                <w:lang w:val="en-US" w:eastAsia="zh-CN"/>
              </w:rPr>
              <w:t>1）管理方针</w:t>
            </w:r>
            <w:r>
              <w:rPr>
                <w:rFonts w:hint="eastAsia"/>
              </w:rPr>
              <w:t>：</w:t>
            </w:r>
            <w:r>
              <w:rPr>
                <w:rFonts w:hint="eastAsia"/>
                <w:lang w:val="en-US" w:eastAsia="zh-CN"/>
              </w:rPr>
              <w:t>“坚持产品质量第一，确保增进顾客满意；坚持遵守法律法规，实现环保安全目标；规范企业经营管理，持续改进管理体系”。</w:t>
            </w:r>
          </w:p>
          <w:p>
            <w:pPr>
              <w:keepNext w:val="0"/>
              <w:keepLines w:val="0"/>
              <w:pageBreakBefore w:val="0"/>
              <w:kinsoku/>
              <w:wordWrap/>
              <w:overflowPunct/>
              <w:topLinePunct w:val="0"/>
              <w:bidi w:val="0"/>
              <w:snapToGrid/>
              <w:spacing w:line="360" w:lineRule="exact"/>
              <w:textAlignment w:val="auto"/>
            </w:pPr>
            <w:r>
              <w:rPr>
                <w:rFonts w:hint="eastAsia" w:cs="宋体"/>
                <w:lang w:val="en-US" w:eastAsia="zh-CN"/>
              </w:rPr>
              <w:t>2）</w:t>
            </w:r>
            <w:r>
              <w:rPr>
                <w:rFonts w:hint="eastAsia" w:cs="宋体"/>
              </w:rPr>
              <w:t>管理方针与企业的经营宗旨相适应，协调；</w:t>
            </w:r>
          </w:p>
          <w:p>
            <w:pPr>
              <w:spacing w:line="240" w:lineRule="exact"/>
              <w:rPr>
                <w:rFonts w:hint="eastAsia"/>
                <w:lang w:val="en-US" w:eastAsia="zh-CN"/>
              </w:rPr>
            </w:pPr>
            <w:r>
              <w:rPr>
                <w:rFonts w:hint="eastAsia" w:cs="宋体"/>
                <w:lang w:val="en-US" w:eastAsia="zh-CN"/>
              </w:rPr>
              <w:t>3）</w:t>
            </w:r>
            <w:r>
              <w:rPr>
                <w:rFonts w:hint="eastAsia" w:cs="宋体"/>
              </w:rPr>
              <w:t>通过会议传达，沟通，让全体员工理解执行。并定期进行评审（</w:t>
            </w:r>
            <w:r>
              <w:rPr>
                <w:rFonts w:hint="eastAsia" w:cs="宋体"/>
                <w:lang w:val="en-US" w:eastAsia="zh-CN"/>
              </w:rPr>
              <w:t>规定</w:t>
            </w:r>
            <w:r>
              <w:rPr>
                <w:rFonts w:hint="eastAsia" w:cs="宋体"/>
              </w:rPr>
              <w:t>一年一次）。</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firstLine="420" w:firstLineChars="200"/>
              <w:rPr>
                <w:b/>
                <w:color w:val="000000" w:themeColor="text1"/>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市场部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综合办公室组织全体部门对所涉及的环境因素进行识别，并评价出重要环境因素，提供环境因素评价记录，目前环境因素识别基本完整，评价的重要环境因素有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b/>
                <w:color w:val="000000" w:themeColor="text1"/>
                <w:sz w:val="20"/>
                <w:szCs w:val="20"/>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培训，转化为公司制度</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lang w:val="en-US" w:eastAsia="zh-CN"/>
              </w:rPr>
            </w:pPr>
            <w:r>
              <w:rPr>
                <w:rFonts w:hint="eastAsia" w:hAnsi="楷体" w:eastAsia="楷体"/>
                <w:b w:val="0"/>
                <w:bCs w:val="0"/>
                <w:color w:val="auto"/>
                <w:sz w:val="21"/>
                <w:szCs w:val="21"/>
                <w:lang w:val="en-US" w:eastAsia="zh-CN"/>
              </w:rPr>
              <w:t>1.质量目标：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销售产品合格率100%；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产品交货及时率≥9</w:t>
            </w:r>
            <w:r>
              <w:rPr>
                <w:rFonts w:hint="eastAsia" w:hAnsi="楷体" w:eastAsia="楷体"/>
                <w:b w:val="0"/>
                <w:bCs w:val="0"/>
                <w:color w:val="auto"/>
                <w:sz w:val="21"/>
                <w:szCs w:val="21"/>
                <w:lang w:val="en-US" w:eastAsia="zh-CN"/>
              </w:rPr>
              <w:t>5</w:t>
            </w:r>
            <w:r>
              <w:rPr>
                <w:rFonts w:hint="eastAsia" w:hAnsi="楷体" w:eastAsia="楷体"/>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顾客满意度≥9</w:t>
            </w:r>
            <w:r>
              <w:rPr>
                <w:rFonts w:hint="eastAsia" w:hAnsi="楷体" w:eastAsia="楷体"/>
                <w:b w:val="0"/>
                <w:bCs w:val="0"/>
                <w:color w:val="auto"/>
                <w:sz w:val="21"/>
                <w:szCs w:val="21"/>
                <w:lang w:val="en-US" w:eastAsia="zh-CN"/>
              </w:rPr>
              <w:t>5</w:t>
            </w:r>
            <w:r>
              <w:rPr>
                <w:rFonts w:hint="eastAsia" w:hAnsi="楷体" w:eastAsia="楷体"/>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售后服务</w:t>
            </w:r>
            <w:r>
              <w:rPr>
                <w:rFonts w:hint="eastAsia" w:hAnsi="楷体" w:eastAsia="楷体"/>
                <w:b w:val="0"/>
                <w:bCs w:val="0"/>
                <w:color w:val="auto"/>
                <w:sz w:val="21"/>
                <w:szCs w:val="21"/>
                <w:lang w:val="en-US" w:eastAsia="zh-CN"/>
              </w:rPr>
              <w:t>及时处理率</w:t>
            </w:r>
            <w:r>
              <w:rPr>
                <w:rFonts w:hint="eastAsia" w:hAnsi="楷体" w:eastAsia="楷体"/>
                <w:b w:val="0"/>
                <w:bCs w:val="0"/>
                <w:color w:val="auto"/>
                <w:sz w:val="21"/>
                <w:szCs w:val="21"/>
              </w:rPr>
              <w:t>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lang w:val="en-US" w:eastAsia="zh-CN"/>
              </w:rPr>
            </w:pPr>
            <w:r>
              <w:rPr>
                <w:rFonts w:hint="eastAsia" w:hAnsi="楷体" w:eastAsia="楷体"/>
                <w:b w:val="0"/>
                <w:bCs w:val="0"/>
                <w:color w:val="auto"/>
                <w:sz w:val="21"/>
                <w:szCs w:val="21"/>
                <w:lang w:val="en-US" w:eastAsia="zh-CN"/>
              </w:rPr>
              <w:t>2.环境目标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rPr>
            </w:pPr>
            <w:r>
              <w:rPr>
                <w:rFonts w:hint="eastAsia" w:hAnsi="楷体" w:eastAsia="楷体"/>
                <w:b w:val="0"/>
                <w:bCs w:val="0"/>
                <w:color w:val="auto"/>
                <w:sz w:val="21"/>
                <w:szCs w:val="21"/>
              </w:rPr>
              <w:t>固废分类处置率100%</w:t>
            </w:r>
          </w:p>
          <w:p>
            <w:pPr>
              <w:pStyle w:val="4"/>
              <w:spacing w:line="360" w:lineRule="auto"/>
              <w:rPr>
                <w:rFonts w:hint="default" w:eastAsia="楷体"/>
                <w:b w:val="0"/>
                <w:bCs w:val="0"/>
                <w:color w:val="auto"/>
                <w:sz w:val="21"/>
                <w:szCs w:val="21"/>
                <w:lang w:val="en-US" w:eastAsia="zh-CN"/>
              </w:rPr>
            </w:pPr>
            <w:r>
              <w:rPr>
                <w:rFonts w:hint="eastAsia" w:hAnsi="楷体" w:eastAsia="楷体"/>
                <w:b w:val="0"/>
                <w:bCs w:val="0"/>
                <w:color w:val="auto"/>
                <w:sz w:val="21"/>
                <w:szCs w:val="21"/>
                <w:lang w:val="en-US" w:eastAsia="zh-CN"/>
              </w:rPr>
              <w:t xml:space="preserve">    控制火灾发生率0%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楷体" w:eastAsia="楷体"/>
                <w:b w:val="0"/>
                <w:bCs w:val="0"/>
                <w:color w:val="auto"/>
                <w:sz w:val="21"/>
                <w:szCs w:val="21"/>
                <w:lang w:val="en-US" w:eastAsia="zh-CN"/>
              </w:rPr>
            </w:pPr>
            <w:r>
              <w:rPr>
                <w:rFonts w:hint="eastAsia" w:hAnsi="楷体" w:eastAsia="楷体"/>
                <w:b w:val="0"/>
                <w:bCs w:val="0"/>
                <w:color w:val="auto"/>
                <w:sz w:val="21"/>
                <w:szCs w:val="21"/>
                <w:lang w:val="en-US" w:eastAsia="zh-CN"/>
              </w:rPr>
              <w:t>3.职业健康安全目标</w:t>
            </w:r>
          </w:p>
          <w:p>
            <w:pPr>
              <w:spacing w:line="360" w:lineRule="auto"/>
              <w:ind w:firstLine="735" w:firstLineChars="350"/>
              <w:rPr>
                <w:rFonts w:hint="eastAsia" w:ascii="Times New Roman" w:hAnsi="Times New Roman" w:cs="宋体"/>
                <w:lang w:eastAsia="zh-CN"/>
              </w:rPr>
            </w:pPr>
            <w:r>
              <w:rPr>
                <w:rFonts w:hint="eastAsia" w:ascii="Times New Roman" w:hAnsi="Times New Roman" w:cs="宋体"/>
                <w:lang w:eastAsia="zh-CN"/>
              </w:rPr>
              <w:t>1）杜绝死亡、重伤事故、火灾事故；</w:t>
            </w:r>
          </w:p>
          <w:p>
            <w:pPr>
              <w:spacing w:line="360" w:lineRule="auto"/>
              <w:ind w:firstLine="735" w:firstLineChars="350"/>
              <w:rPr>
                <w:rFonts w:hint="eastAsia" w:ascii="Times New Roman" w:hAnsi="Times New Roman" w:cs="宋体"/>
                <w:lang w:eastAsia="zh-CN"/>
              </w:rPr>
            </w:pPr>
            <w:r>
              <w:rPr>
                <w:rFonts w:hint="eastAsia" w:ascii="Times New Roman" w:hAnsi="Times New Roman" w:cs="宋体"/>
                <w:lang w:eastAsia="zh-CN"/>
              </w:rPr>
              <w:t>2）每年轻伤事故频率控制在3起以内</w:t>
            </w:r>
          </w:p>
          <w:p>
            <w:pPr>
              <w:spacing w:line="240" w:lineRule="exact"/>
              <w:ind w:firstLine="420" w:firstLineChars="200"/>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21</w:t>
            </w:r>
            <w:r>
              <w:rPr>
                <w:rFonts w:hint="eastAsia" w:ascii="Times New Roman" w:hAnsi="Times New Roman" w:cs="宋体"/>
                <w:lang w:val="en-US" w:eastAsia="zh-CN"/>
              </w:rPr>
              <w:t>年</w:t>
            </w:r>
            <w:r>
              <w:rPr>
                <w:rFonts w:hint="eastAsia" w:cs="宋体"/>
                <w:lang w:val="en-US" w:eastAsia="zh-CN"/>
              </w:rPr>
              <w:t>1</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val="en-US" w:eastAsia="zh-CN"/>
              </w:rPr>
              <w:t>综合</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210" w:firstLineChars="100"/>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23</w:t>
            </w:r>
            <w:r>
              <w:rPr>
                <w:rFonts w:hint="eastAsia"/>
                <w:sz w:val="21"/>
                <w:szCs w:val="21"/>
              </w:rPr>
              <w:t>人，其中管</w:t>
            </w:r>
            <w:r>
              <w:rPr>
                <w:rFonts w:hint="eastAsia"/>
                <w:sz w:val="21"/>
                <w:szCs w:val="21"/>
                <w:highlight w:val="none"/>
              </w:rPr>
              <w:t>理人员</w:t>
            </w:r>
            <w:r>
              <w:rPr>
                <w:rFonts w:hint="eastAsia"/>
                <w:sz w:val="21"/>
                <w:szCs w:val="21"/>
                <w:highlight w:val="none"/>
                <w:lang w:val="en-US" w:eastAsia="zh-CN"/>
              </w:rPr>
              <w:t>3</w:t>
            </w:r>
            <w:r>
              <w:rPr>
                <w:rFonts w:hint="eastAsia"/>
                <w:sz w:val="21"/>
                <w:szCs w:val="21"/>
                <w:highlight w:val="none"/>
              </w:rPr>
              <w:t>人，满足</w:t>
            </w:r>
            <w:r>
              <w:rPr>
                <w:rFonts w:hint="eastAsia"/>
                <w:sz w:val="21"/>
                <w:szCs w:val="21"/>
                <w:highlight w:val="none"/>
                <w:lang w:val="en-US" w:eastAsia="zh-CN"/>
              </w:rPr>
              <w:t>销售服务</w:t>
            </w:r>
            <w:r>
              <w:rPr>
                <w:rFonts w:hint="eastAsia"/>
                <w:sz w:val="21"/>
                <w:szCs w:val="21"/>
                <w:highlight w:val="none"/>
              </w:rPr>
              <w:t>要</w:t>
            </w:r>
            <w:r>
              <w:rPr>
                <w:rFonts w:hint="eastAsia"/>
                <w:sz w:val="21"/>
                <w:szCs w:val="21"/>
              </w:rPr>
              <w:t>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500" w:lineRule="exact"/>
              <w:ind w:firstLine="420" w:firstLineChars="200"/>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w:t>
            </w:r>
            <w:bookmarkStart w:id="23" w:name="_GoBack"/>
            <w:r>
              <w:rPr>
                <w:rFonts w:hint="eastAsia" w:cs="宋体"/>
                <w:color w:val="auto"/>
                <w:sz w:val="21"/>
                <w:szCs w:val="21"/>
              </w:rPr>
              <w:t>点位于</w:t>
            </w:r>
            <w:r>
              <w:rPr>
                <w:rFonts w:hint="eastAsia" w:ascii="宋体" w:hAnsi="宋体" w:cs="宋体"/>
                <w:color w:val="auto"/>
                <w:sz w:val="21"/>
                <w:szCs w:val="21"/>
                <w:lang w:val="en-US" w:eastAsia="zh-CN"/>
              </w:rPr>
              <w:t>河北省石家庄市高新区天山大街585号日中天科技园1702室</w:t>
            </w:r>
            <w:r>
              <w:rPr>
                <w:rFonts w:hint="eastAsia" w:cs="宋体"/>
                <w:color w:val="auto"/>
                <w:sz w:val="21"/>
                <w:szCs w:val="21"/>
              </w:rPr>
              <w:t>，</w:t>
            </w:r>
            <w:r>
              <w:rPr>
                <w:rFonts w:hint="eastAsia"/>
                <w:color w:val="auto"/>
                <w:sz w:val="21"/>
                <w:szCs w:val="21"/>
                <w:lang w:eastAsia="zh-CN"/>
              </w:rPr>
              <w:t>办公区域面积</w:t>
            </w:r>
            <w:r>
              <w:rPr>
                <w:rFonts w:hint="eastAsia"/>
                <w:color w:val="auto"/>
                <w:sz w:val="21"/>
                <w:szCs w:val="21"/>
                <w:lang w:val="en-US" w:eastAsia="zh-CN"/>
              </w:rPr>
              <w:t>86平米，</w:t>
            </w:r>
            <w:r>
              <w:rPr>
                <w:rFonts w:hint="eastAsia"/>
                <w:color w:val="auto"/>
                <w:sz w:val="21"/>
                <w:szCs w:val="21"/>
                <w:lang w:eastAsia="zh-CN"/>
              </w:rPr>
              <w:t>布局合理，场所卫生干净整洁，工作环境良好。</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cs="Times New Roman"/>
                <w:b/>
                <w:color w:val="000000" w:themeColor="text1"/>
                <w:sz w:val="20"/>
                <w:szCs w:val="20"/>
                <w:lang w:eastAsia="zh-CN"/>
              </w:rPr>
            </w:pPr>
            <w:r>
              <w:rPr>
                <w:rFonts w:hint="eastAsia" w:ascii="宋体" w:hAnsi="宋体" w:eastAsia="宋体" w:cs="Times New Roman"/>
                <w:b/>
                <w:color w:val="000000" w:themeColor="text1"/>
                <w:sz w:val="20"/>
                <w:szCs w:val="20"/>
              </w:rPr>
              <w:t>监视和测量资源</w:t>
            </w:r>
            <w:r>
              <w:rPr>
                <w:rFonts w:hint="eastAsia" w:ascii="宋体" w:hAnsi="宋体" w:eastAsia="宋体" w:cs="Times New Roman"/>
                <w:b/>
                <w:color w:val="000000" w:themeColor="text1"/>
                <w:sz w:val="20"/>
                <w:szCs w:val="20"/>
                <w:lang w:eastAsia="zh-CN"/>
              </w:rPr>
              <w:t>：</w:t>
            </w:r>
          </w:p>
          <w:p>
            <w:pPr>
              <w:spacing w:line="240" w:lineRule="exact"/>
              <w:rPr>
                <w:rFonts w:hint="eastAsia"/>
                <w:lang w:eastAsia="zh-CN"/>
              </w:rPr>
            </w:pPr>
            <w:r>
              <w:rPr>
                <w:rFonts w:hint="eastAsia"/>
                <w:lang w:eastAsia="zh-CN"/>
              </w:rPr>
              <w:t>组织对服务质量进行检查、对顾客满意度进行调查，制定了对应表格</w:t>
            </w:r>
          </w:p>
          <w:p>
            <w:pPr>
              <w:pStyle w:val="4"/>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eastAsia="宋体"/>
                <w:lang w:val="en-US" w:eastAsia="zh-CN"/>
              </w:rPr>
            </w:pPr>
            <w:r>
              <w:rPr>
                <w:rFonts w:hint="eastAsia"/>
                <w:b/>
                <w:bCs/>
              </w:rPr>
              <w:t>环保设施：</w:t>
            </w:r>
            <w:r>
              <w:rPr>
                <w:rFonts w:hint="eastAsia"/>
                <w:lang w:val="en-US" w:eastAsia="zh-CN"/>
              </w:rPr>
              <w:t>灭火器</w:t>
            </w: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b/>
                <w:color w:val="000000" w:themeColor="text1"/>
                <w:sz w:val="20"/>
                <w:szCs w:val="20"/>
                <w:lang w:val="en-US"/>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灭火器、警示牌等，以及业主大楼主管的自动喷水灭火系统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lang w:val="en-US" w:eastAsia="zh-CN"/>
              </w:rP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spacing w:line="300" w:lineRule="exact"/>
              <w:ind w:left="1"/>
              <w:rPr>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市场部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主要采购厨房用具、餐桌餐椅、炊事机械、酒店用品（国家专控除外）、制冷设备、空气净化设备、净水设备、不锈钢制品、油烟净化设备、消毒设备、通风设备，</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回款制度》，由项目负责人组织人员、物资等资源进行销售服务，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主要满足客户要求，目前向顾客提供的服务均符合要求，提供有客户验收证明。</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20" w:firstLineChars="200"/>
              <w:rPr>
                <w:b/>
                <w:color w:val="000000" w:themeColor="text1"/>
                <w:sz w:val="20"/>
                <w:szCs w:val="20"/>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firstLine="420" w:firstLineChars="200"/>
              <w:rPr>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98.3</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000000" w:themeColor="text1"/>
                <w:spacing w:val="-8"/>
                <w:sz w:val="20"/>
                <w:szCs w:val="20"/>
              </w:rPr>
            </w:pPr>
            <w:r>
              <w:rPr>
                <w:rFonts w:hint="eastAsia"/>
                <w:sz w:val="21"/>
                <w:szCs w:val="21"/>
              </w:rPr>
              <w:t>按照策划的安排于</w:t>
            </w:r>
            <w:r>
              <w:t>20</w:t>
            </w:r>
            <w:r>
              <w:rPr>
                <w:rFonts w:hint="eastAsia"/>
                <w:lang w:val="en-US" w:eastAsia="zh-CN"/>
              </w:rPr>
              <w:t>21年3月29日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sz w:val="21"/>
                <w:szCs w:val="21"/>
              </w:rPr>
              <w:t>按照策划的安排于</w:t>
            </w:r>
            <w:r>
              <w:t>20</w:t>
            </w:r>
            <w:r>
              <w:rPr>
                <w:rFonts w:hint="eastAsia"/>
                <w:lang w:val="en-US" w:eastAsia="zh-CN"/>
              </w:rPr>
              <w:t>21</w:t>
            </w:r>
            <w:r>
              <w:rPr>
                <w:rFonts w:hint="eastAsia" w:cs="宋体"/>
              </w:rPr>
              <w:t>年</w:t>
            </w:r>
            <w:r>
              <w:rPr>
                <w:rFonts w:hint="eastAsia" w:cs="宋体"/>
                <w:lang w:val="en-US" w:eastAsia="zh-CN"/>
              </w:rPr>
              <w:t>4</w:t>
            </w:r>
            <w:r>
              <w:rPr>
                <w:rFonts w:hint="eastAsia" w:cs="宋体"/>
              </w:rPr>
              <w:t>月</w:t>
            </w:r>
            <w:r>
              <w:rPr>
                <w:rFonts w:hint="eastAsia" w:cs="宋体"/>
                <w:lang w:val="en-US" w:eastAsia="zh-CN"/>
              </w:rPr>
              <w:t>16</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ind w:firstLine="400" w:firstLineChars="200"/>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400" w:firstLineChars="200"/>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r>
              <w:rPr>
                <w:rFonts w:hint="eastAsia"/>
                <w:b w:val="0"/>
                <w:bCs/>
                <w:color w:val="000000" w:themeColor="text1"/>
                <w:sz w:val="20"/>
                <w:szCs w:val="20"/>
                <w:lang w:val="en-US" w:eastAsia="zh-CN"/>
              </w:rPr>
              <w:t>不涉及</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ind w:firstLine="322" w:firstLineChars="200"/>
              <w:textAlignment w:val="auto"/>
              <w:rPr>
                <w:b/>
                <w:color w:val="000000" w:themeColor="text1"/>
                <w:spacing w:val="-20"/>
                <w:sz w:val="20"/>
                <w:szCs w:val="20"/>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7"/>
              </w:numPr>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7"/>
              </w:numPr>
              <w:kinsoku/>
              <w:wordWrap/>
              <w:overflowPunct/>
              <w:topLinePunct w:val="0"/>
              <w:bidi w:val="0"/>
              <w:snapToGrid/>
              <w:spacing w:line="360" w:lineRule="exact"/>
              <w:ind w:left="0" w:leftChars="0" w:firstLine="0" w:firstLineChars="0"/>
              <w:textAlignment w:val="auto"/>
              <w:rPr>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w:t>
            </w:r>
          </w:p>
          <w:p>
            <w:pPr>
              <w:spacing w:line="240" w:lineRule="exact"/>
              <w:rPr>
                <w:b/>
                <w:color w:val="000000" w:themeColor="text1"/>
                <w:sz w:val="22"/>
                <w:szCs w:val="22"/>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val="en-US" w:eastAsia="zh-CN"/>
              </w:rPr>
              <w:t>河北德华医疗器械有限公司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sz w:val="20"/>
              </w:rPr>
              <w:t>医疗器械和纺织品的销售</w:t>
            </w:r>
          </w:p>
          <w:p>
            <w:pPr>
              <w:rPr>
                <w:sz w:val="20"/>
              </w:rPr>
            </w:pPr>
            <w:r>
              <w:rPr>
                <w:rFonts w:hint="eastAsia" w:ascii="宋体" w:hAnsi="宋体"/>
                <w:b/>
                <w:color w:val="000000" w:themeColor="text1"/>
              </w:rPr>
              <w:t>EMS</w:t>
            </w:r>
            <w:r>
              <w:rPr>
                <w:rFonts w:hint="eastAsia" w:ascii="宋体" w:hAnsi="宋体"/>
                <w:b/>
                <w:color w:val="000000" w:themeColor="text1"/>
                <w:lang w:val="en-GB"/>
              </w:rPr>
              <w:t>:</w:t>
            </w:r>
            <w:r>
              <w:rPr>
                <w:sz w:val="20"/>
              </w:rPr>
              <w:t>医疗器械和纺织</w:t>
            </w:r>
            <w:r>
              <w:rPr>
                <w:rFonts w:hint="eastAsia"/>
                <w:sz w:val="20"/>
                <w:lang w:val="en-US" w:eastAsia="zh-CN"/>
              </w:rPr>
              <w:t>品</w:t>
            </w:r>
            <w:r>
              <w:rPr>
                <w:sz w:val="20"/>
              </w:rPr>
              <w:t>的销售所涉及场所的相关环境管理活动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sz w:val="20"/>
              </w:rPr>
              <w:t>医疗器械和纺织品的销售所涉及场所的相关职业健康安全管理活动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1605915</wp:posOffset>
            </wp:positionH>
            <wp:positionV relativeFrom="paragraph">
              <wp:posOffset>260350</wp:posOffset>
            </wp:positionV>
            <wp:extent cx="956945" cy="428625"/>
            <wp:effectExtent l="0" t="0" r="8255" b="317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956945" cy="4286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1772920</wp:posOffset>
            </wp:positionH>
            <wp:positionV relativeFrom="paragraph">
              <wp:posOffset>85725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1093470" cy="52641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2021年6</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3360" behindDoc="0" locked="0" layoutInCell="1" allowOverlap="1">
            <wp:simplePos x="0" y="0"/>
            <wp:positionH relativeFrom="column">
              <wp:posOffset>875030</wp:posOffset>
            </wp:positionH>
            <wp:positionV relativeFrom="paragraph">
              <wp:posOffset>95250</wp:posOffset>
            </wp:positionV>
            <wp:extent cx="956945" cy="428625"/>
            <wp:effectExtent l="0" t="0" r="8255" b="317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956945" cy="42862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10</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04016EC4"/>
    <w:multiLevelType w:val="singleLevel"/>
    <w:tmpl w:val="04016EC4"/>
    <w:lvl w:ilvl="0" w:tentative="0">
      <w:start w:val="2"/>
      <w:numFmt w:val="decimal"/>
      <w:lvlText w:val="%1."/>
      <w:lvlJc w:val="left"/>
      <w:pPr>
        <w:tabs>
          <w:tab w:val="left" w:pos="312"/>
        </w:tabs>
      </w:pPr>
    </w:lvl>
  </w:abstractNum>
  <w:abstractNum w:abstractNumId="2">
    <w:nsid w:val="08871B8D"/>
    <w:multiLevelType w:val="singleLevel"/>
    <w:tmpl w:val="08871B8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E6D8CE"/>
    <w:multiLevelType w:val="singleLevel"/>
    <w:tmpl w:val="4CE6D8CE"/>
    <w:lvl w:ilvl="0" w:tentative="0">
      <w:start w:val="2"/>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8639F2"/>
    <w:multiLevelType w:val="singleLevel"/>
    <w:tmpl w:val="718639F2"/>
    <w:lvl w:ilvl="0" w:tentative="0">
      <w:start w:val="5"/>
      <w:numFmt w:val="decimal"/>
      <w:suff w:val="space"/>
      <w:lvlText w:val="%1."/>
      <w:lvlJc w:val="left"/>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C2758A"/>
    <w:rsid w:val="207D23A0"/>
    <w:rsid w:val="254F2CFE"/>
    <w:rsid w:val="35A476DE"/>
    <w:rsid w:val="38AB20EF"/>
    <w:rsid w:val="58780EA9"/>
    <w:rsid w:val="75AE0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2021-06-07T03:42:37Z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535CBCF0D03A44868094A5E471F86EB8</vt:lpwstr>
  </property>
</Properties>
</file>