
<file path=[Content_Types].xml><?xml version="1.0" encoding="utf-8"?>
<Types xmlns="http://schemas.openxmlformats.org/package/2006/content-types">
  <Default Extension="xml" ContentType="application/xml"/>
  <Default Extension="png" ContentType="image/png"/>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bookmarkStart w:id="21" w:name="_GoBack"/>
      <w:bookmarkEnd w:id="21"/>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重庆新阳地理信息有限公司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202"/>
        <w:gridCol w:w="126"/>
        <w:gridCol w:w="1134"/>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4557" w:type="dxa"/>
            <w:gridSpan w:val="4"/>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1968" w:type="dxa"/>
            <w:gridSpan w:val="3"/>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5"/>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2202" w:type="dxa"/>
            <w:vAlign w:val="center"/>
          </w:tcPr>
          <w:p>
            <w:pPr>
              <w:spacing w:line="240" w:lineRule="exact"/>
              <w:jc w:val="center"/>
              <w:rPr>
                <w:b/>
                <w:color w:val="000000" w:themeColor="text1"/>
                <w:sz w:val="20"/>
                <w:szCs w:val="20"/>
              </w:rPr>
            </w:pPr>
            <w:r>
              <w:rPr>
                <w:rFonts w:hint="eastAsia"/>
                <w:sz w:val="18"/>
                <w:szCs w:val="18"/>
              </w:rPr>
              <w:t>注册资格</w:t>
            </w:r>
          </w:p>
        </w:tc>
        <w:tc>
          <w:tcPr>
            <w:tcW w:w="3609" w:type="dxa"/>
            <w:gridSpan w:val="4"/>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202"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3609" w:type="dxa"/>
            <w:gridSpan w:val="4"/>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E:34.01.01,34.01.02,34.06.00</w:t>
            </w:r>
          </w:p>
          <w:p>
            <w:pPr>
              <w:spacing w:line="240" w:lineRule="exact"/>
              <w:jc w:val="center"/>
              <w:rPr>
                <w:b/>
                <w:color w:val="000000" w:themeColor="text1"/>
                <w:sz w:val="20"/>
                <w:szCs w:val="20"/>
              </w:rPr>
            </w:pPr>
            <w:r>
              <w:rPr>
                <w:b/>
                <w:color w:val="000000" w:themeColor="text1"/>
                <w:sz w:val="20"/>
                <w:szCs w:val="20"/>
              </w:rPr>
              <w:t>O:34.01.01,34.01.02,34.06.00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202" w:type="dxa"/>
            <w:vAlign w:val="center"/>
          </w:tcPr>
          <w:p>
            <w:pPr>
              <w:spacing w:line="240" w:lineRule="exact"/>
              <w:jc w:val="center"/>
              <w:rPr>
                <w:b/>
                <w:color w:val="000000" w:themeColor="text1"/>
                <w:sz w:val="20"/>
                <w:szCs w:val="20"/>
              </w:rPr>
            </w:pPr>
            <w:r>
              <w:rPr>
                <w:b/>
                <w:color w:val="000000" w:themeColor="text1"/>
                <w:sz w:val="20"/>
                <w:szCs w:val="20"/>
              </w:rPr>
              <w:t>Q:审核员</w:t>
            </w:r>
          </w:p>
        </w:tc>
        <w:tc>
          <w:tcPr>
            <w:tcW w:w="3609" w:type="dxa"/>
            <w:gridSpan w:val="4"/>
            <w:vAlign w:val="center"/>
          </w:tcPr>
          <w:p>
            <w:pPr>
              <w:spacing w:line="240" w:lineRule="exact"/>
              <w:jc w:val="center"/>
              <w:rPr>
                <w:b/>
                <w:color w:val="000000" w:themeColor="text1"/>
                <w:sz w:val="20"/>
                <w:szCs w:val="20"/>
              </w:rPr>
            </w:pPr>
            <w:r>
              <w:rPr>
                <w:b/>
                <w:color w:val="000000" w:themeColor="text1"/>
                <w:sz w:val="20"/>
                <w:szCs w:val="20"/>
              </w:rPr>
              <w:t>Q:34.01.02,34.06.00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2202"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3609" w:type="dxa"/>
            <w:gridSpan w:val="4"/>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王勇富</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202" w:type="dxa"/>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tc>
        <w:tc>
          <w:tcPr>
            <w:tcW w:w="3609" w:type="dxa"/>
            <w:gridSpan w:val="4"/>
            <w:vAlign w:val="center"/>
          </w:tcPr>
          <w:p>
            <w:pPr>
              <w:spacing w:line="240" w:lineRule="exact"/>
              <w:jc w:val="center"/>
              <w:rPr>
                <w:b/>
                <w:color w:val="000000" w:themeColor="text1"/>
                <w:sz w:val="20"/>
                <w:szCs w:val="20"/>
              </w:rPr>
            </w:pPr>
            <w:r>
              <w:rPr>
                <w:b/>
                <w:color w:val="000000" w:themeColor="text1"/>
                <w:sz w:val="20"/>
                <w:szCs w:val="20"/>
              </w:rPr>
              <w:t>Q:34.01.01,34.01.02</w:t>
            </w:r>
          </w:p>
          <w:p>
            <w:pPr>
              <w:spacing w:line="240" w:lineRule="exact"/>
              <w:jc w:val="center"/>
              <w:rPr>
                <w:b/>
                <w:color w:val="000000" w:themeColor="text1"/>
                <w:sz w:val="20"/>
                <w:szCs w:val="20"/>
              </w:rPr>
            </w:pPr>
            <w:r>
              <w:rPr>
                <w:b/>
                <w:color w:val="000000" w:themeColor="text1"/>
                <w:sz w:val="20"/>
                <w:szCs w:val="20"/>
              </w:rPr>
              <w:t>E:34.01.01,34.01.02</w:t>
            </w:r>
          </w:p>
          <w:p>
            <w:pPr>
              <w:spacing w:line="240" w:lineRule="exact"/>
              <w:jc w:val="center"/>
              <w:rPr>
                <w:b/>
                <w:color w:val="000000" w:themeColor="text1"/>
                <w:sz w:val="20"/>
                <w:szCs w:val="20"/>
              </w:rPr>
            </w:pPr>
            <w:r>
              <w:rPr>
                <w:b/>
                <w:color w:val="000000" w:themeColor="text1"/>
                <w:sz w:val="20"/>
                <w:szCs w:val="20"/>
              </w:rPr>
              <w:t>O:34.01.01,34.01.02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2202" w:type="dxa"/>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3609" w:type="dxa"/>
            <w:gridSpan w:val="4"/>
            <w:vAlign w:val="center"/>
          </w:tcPr>
          <w:p>
            <w:pPr>
              <w:spacing w:line="240" w:lineRule="exact"/>
              <w:jc w:val="center"/>
              <w:rPr>
                <w:b/>
                <w:color w:val="000000" w:themeColor="text1"/>
                <w:sz w:val="20"/>
                <w:szCs w:val="20"/>
              </w:rPr>
            </w:pPr>
            <w:r>
              <w:rPr>
                <w:b/>
                <w:color w:val="000000" w:themeColor="text1"/>
                <w:sz w:val="20"/>
                <w:szCs w:val="20"/>
              </w:rPr>
              <w:t>Q:34.01.02,34.06.00</w:t>
            </w:r>
          </w:p>
          <w:p>
            <w:pPr>
              <w:spacing w:line="240" w:lineRule="exact"/>
              <w:jc w:val="center"/>
              <w:rPr>
                <w:b/>
                <w:color w:val="000000" w:themeColor="text1"/>
                <w:sz w:val="20"/>
                <w:szCs w:val="20"/>
              </w:rPr>
            </w:pPr>
            <w:r>
              <w:rPr>
                <w:b/>
                <w:color w:val="000000" w:themeColor="text1"/>
                <w:sz w:val="20"/>
                <w:szCs w:val="20"/>
              </w:rPr>
              <w:t>E:34.01.01,34.01.02,34.06.00</w:t>
            </w:r>
          </w:p>
          <w:p>
            <w:pPr>
              <w:spacing w:line="240" w:lineRule="exact"/>
              <w:jc w:val="center"/>
              <w:rPr>
                <w:b/>
                <w:color w:val="000000" w:themeColor="text1"/>
                <w:sz w:val="20"/>
                <w:szCs w:val="20"/>
              </w:rPr>
            </w:pPr>
            <w:r>
              <w:rPr>
                <w:b/>
                <w:color w:val="000000" w:themeColor="text1"/>
                <w:sz w:val="20"/>
                <w:szCs w:val="20"/>
              </w:rPr>
              <w:t>O:34.01.01,34.01.02,34.06.00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2202" w:type="dxa"/>
            <w:vAlign w:val="center"/>
          </w:tcPr>
          <w:p>
            <w:pPr>
              <w:rPr>
                <w:b/>
                <w:color w:val="000000" w:themeColor="text1"/>
                <w:sz w:val="20"/>
                <w:szCs w:val="20"/>
              </w:rPr>
            </w:pPr>
            <w:r>
              <w:rPr>
                <w:rFonts w:hint="eastAsia"/>
                <w:b/>
                <w:color w:val="000000" w:themeColor="text1"/>
                <w:sz w:val="20"/>
                <w:szCs w:val="20"/>
              </w:rPr>
              <w:t>工作单位</w:t>
            </w:r>
          </w:p>
        </w:tc>
        <w:tc>
          <w:tcPr>
            <w:tcW w:w="3609" w:type="dxa"/>
            <w:gridSpan w:val="4"/>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202" w:type="dxa"/>
            <w:vAlign w:val="center"/>
          </w:tcPr>
          <w:p>
            <w:pPr>
              <w:rPr>
                <w:b/>
                <w:color w:val="000000" w:themeColor="text1"/>
              </w:rPr>
            </w:pPr>
          </w:p>
        </w:tc>
        <w:tc>
          <w:tcPr>
            <w:tcW w:w="3609" w:type="dxa"/>
            <w:gridSpan w:val="4"/>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2202" w:type="dxa"/>
            <w:vAlign w:val="center"/>
          </w:tcPr>
          <w:p>
            <w:pPr>
              <w:rPr>
                <w:b/>
                <w:color w:val="000000" w:themeColor="text1"/>
              </w:rPr>
            </w:pPr>
          </w:p>
        </w:tc>
        <w:tc>
          <w:tcPr>
            <w:tcW w:w="3609" w:type="dxa"/>
            <w:gridSpan w:val="4"/>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p>
    <w:p>
      <w:pPr>
        <w:pStyle w:val="12"/>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重庆新阳地理信息有限公司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重庆市渝北区龙山街道银桦路125号圣地阳光6幢33-6</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401147</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重庆市渝北区龙山大道401号扬子江商务小区1栋33-3</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401147</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王荣琼</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15086816890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张家银</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default" w:ascii="宋体" w:hAnsi="宋体" w:eastAsia="宋体"/>
                <w:b/>
                <w:color w:val="000000" w:themeColor="text1"/>
                <w:spacing w:val="-20"/>
                <w:sz w:val="20"/>
                <w:szCs w:val="20"/>
                <w:lang w:val="en-US" w:eastAsia="zh-CN"/>
              </w:rPr>
            </w:pPr>
            <w:bookmarkStart w:id="15" w:name="最高管理者"/>
            <w:bookmarkEnd w:id="15"/>
            <w:r>
              <w:rPr>
                <w:rFonts w:hint="eastAsia" w:ascii="宋体" w:hAnsi="宋体"/>
                <w:b/>
                <w:color w:val="000000" w:themeColor="text1"/>
                <w:spacing w:val="-20"/>
                <w:sz w:val="20"/>
                <w:szCs w:val="20"/>
                <w:lang w:val="en-US" w:eastAsia="zh-CN"/>
              </w:rPr>
              <w:t>张家银</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蔡伟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b/>
                <w:color w:val="000000" w:themeColor="text1"/>
                <w:sz w:val="20"/>
                <w:szCs w:val="20"/>
                <w:lang w:eastAsia="zh-CN"/>
              </w:rPr>
            </w:pPr>
            <w:bookmarkStart w:id="17" w:name="审核范围"/>
            <w:r>
              <w:rPr>
                <w:rFonts w:ascii="宋体" w:hAnsi="宋体"/>
                <w:b/>
                <w:color w:val="000000" w:themeColor="text1"/>
                <w:sz w:val="20"/>
                <w:szCs w:val="20"/>
              </w:rPr>
              <w:t>Q：</w:t>
            </w:r>
            <w:r>
              <w:rPr>
                <w:rFonts w:hint="eastAsia" w:ascii="宋体" w:hAnsi="宋体"/>
                <w:b/>
                <w:color w:val="000000" w:themeColor="text1"/>
                <w:sz w:val="20"/>
                <w:szCs w:val="20"/>
                <w:lang w:val="en-US" w:eastAsia="zh-CN"/>
              </w:rPr>
              <w:t>资质范围内的</w:t>
            </w:r>
            <w:r>
              <w:rPr>
                <w:rFonts w:hint="eastAsia" w:ascii="宋体" w:hAnsi="宋体"/>
                <w:b/>
                <w:color w:val="000000" w:themeColor="text1"/>
                <w:sz w:val="20"/>
                <w:szCs w:val="20"/>
                <w:lang w:eastAsia="zh-CN"/>
              </w:rPr>
              <w:t>工程测量；土地利用总体规划及专项规划的编制、设计</w:t>
            </w:r>
          </w:p>
          <w:p>
            <w:pPr>
              <w:spacing w:line="320" w:lineRule="exact"/>
              <w:rPr>
                <w:rFonts w:hint="eastAsia" w:ascii="宋体" w:hAnsi="宋体"/>
                <w:b/>
                <w:color w:val="000000" w:themeColor="text1"/>
                <w:sz w:val="20"/>
                <w:szCs w:val="20"/>
                <w:lang w:eastAsia="zh-CN"/>
              </w:rPr>
            </w:pPr>
            <w:r>
              <w:rPr>
                <w:rFonts w:hint="eastAsia" w:ascii="宋体" w:hAnsi="宋体"/>
                <w:b/>
                <w:color w:val="000000" w:themeColor="text1"/>
                <w:sz w:val="20"/>
                <w:szCs w:val="20"/>
                <w:lang w:eastAsia="zh-CN"/>
              </w:rPr>
              <w:t>E：</w:t>
            </w:r>
            <w:r>
              <w:rPr>
                <w:rFonts w:hint="eastAsia" w:ascii="宋体" w:hAnsi="宋体"/>
                <w:b/>
                <w:color w:val="000000" w:themeColor="text1"/>
                <w:sz w:val="20"/>
                <w:szCs w:val="20"/>
                <w:lang w:val="en-US" w:eastAsia="zh-CN"/>
              </w:rPr>
              <w:t>资质范围内的</w:t>
            </w:r>
            <w:r>
              <w:rPr>
                <w:rFonts w:hint="eastAsia" w:ascii="宋体" w:hAnsi="宋体"/>
                <w:b/>
                <w:color w:val="000000" w:themeColor="text1"/>
                <w:sz w:val="20"/>
                <w:szCs w:val="20"/>
                <w:lang w:eastAsia="zh-CN"/>
              </w:rPr>
              <w:t>工程测量；土地利用总体规划及专项规划的编制、设计所涉及场所的相关环境管理活动</w:t>
            </w:r>
          </w:p>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O：</w:t>
            </w:r>
            <w:r>
              <w:rPr>
                <w:rFonts w:hint="eastAsia" w:ascii="宋体" w:hAnsi="宋体"/>
                <w:b/>
                <w:color w:val="000000" w:themeColor="text1"/>
                <w:sz w:val="20"/>
                <w:szCs w:val="20"/>
                <w:lang w:val="en-US" w:eastAsia="zh-CN"/>
              </w:rPr>
              <w:t>资质范围内的</w:t>
            </w:r>
            <w:r>
              <w:rPr>
                <w:rFonts w:hint="eastAsia" w:ascii="宋体" w:hAnsi="宋体"/>
                <w:b/>
                <w:color w:val="000000" w:themeColor="text1"/>
                <w:sz w:val="20"/>
                <w:szCs w:val="20"/>
                <w:lang w:eastAsia="zh-CN"/>
              </w:rPr>
              <w:t>工程测量；土地利用总体规划及专项规划的编制、设计</w:t>
            </w:r>
            <w:r>
              <w:rPr>
                <w:rFonts w:ascii="宋体" w:hAnsi="宋体"/>
                <w:b/>
                <w:color w:val="000000" w:themeColor="text1"/>
                <w:sz w:val="20"/>
                <w:szCs w:val="20"/>
              </w:rPr>
              <w:t>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Q：34.01.01;34.01.02;34.06.00</w:t>
            </w:r>
          </w:p>
          <w:p>
            <w:pPr>
              <w:spacing w:line="320" w:lineRule="exact"/>
              <w:rPr>
                <w:rFonts w:ascii="宋体" w:hAnsi="宋体"/>
                <w:b/>
                <w:color w:val="000000" w:themeColor="text1"/>
                <w:sz w:val="20"/>
                <w:szCs w:val="20"/>
              </w:rPr>
            </w:pPr>
            <w:r>
              <w:rPr>
                <w:rFonts w:ascii="宋体" w:hAnsi="宋体"/>
                <w:b/>
                <w:color w:val="000000" w:themeColor="text1"/>
                <w:sz w:val="20"/>
                <w:szCs w:val="20"/>
              </w:rPr>
              <w:t>E：34.01.01;34.01.02;34.06.00</w:t>
            </w:r>
          </w:p>
          <w:p>
            <w:pPr>
              <w:spacing w:line="320" w:lineRule="exact"/>
              <w:rPr>
                <w:rFonts w:ascii="宋体" w:hAnsi="宋体"/>
                <w:b/>
                <w:color w:val="000000" w:themeColor="text1"/>
                <w:sz w:val="20"/>
                <w:szCs w:val="20"/>
              </w:rPr>
            </w:pPr>
            <w:r>
              <w:rPr>
                <w:rFonts w:ascii="宋体" w:hAnsi="宋体"/>
                <w:b/>
                <w:color w:val="000000" w:themeColor="text1"/>
                <w:sz w:val="20"/>
                <w:szCs w:val="20"/>
              </w:rPr>
              <w:t>O：34.01.01;34.01.02;34.06.00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hint="eastAsia" w:ascii="宋体" w:hAnsi="宋体"/>
                <w:b/>
                <w:color w:val="000000" w:themeColor="text1"/>
                <w:sz w:val="20"/>
                <w:szCs w:val="20"/>
                <w:highlight w:val="none"/>
              </w:rPr>
              <w:t>20</w:t>
            </w:r>
            <w:r>
              <w:rPr>
                <w:rFonts w:hint="eastAsia" w:ascii="宋体" w:hAnsi="宋体"/>
                <w:b/>
                <w:color w:val="000000" w:themeColor="text1"/>
                <w:sz w:val="20"/>
                <w:szCs w:val="20"/>
                <w:highlight w:val="none"/>
                <w:lang w:val="en-US" w:eastAsia="zh-CN"/>
              </w:rPr>
              <w:t>21</w:t>
            </w:r>
            <w:r>
              <w:rPr>
                <w:rFonts w:hint="eastAsia" w:ascii="宋体" w:hAnsi="宋体"/>
                <w:b/>
                <w:color w:val="000000" w:themeColor="text1"/>
                <w:sz w:val="20"/>
                <w:szCs w:val="20"/>
                <w:highlight w:val="none"/>
              </w:rPr>
              <w:t>年1月1日</w:t>
            </w:r>
            <w:r>
              <w:rPr>
                <w:rFonts w:hint="eastAsia" w:ascii="宋体" w:hAnsi="宋体"/>
                <w:b/>
                <w:color w:val="000000" w:themeColor="text1"/>
                <w:sz w:val="20"/>
                <w:szCs w:val="20"/>
                <w:highlight w:val="none"/>
                <w:lang w:val="en-US" w:eastAsia="zh-CN"/>
              </w:rPr>
              <w:t>0</w:t>
            </w:r>
            <w:r>
              <w:rPr>
                <w:rFonts w:ascii="宋体" w:hAnsi="宋体"/>
                <w:b/>
                <w:color w:val="000000" w:themeColor="text1"/>
                <w:sz w:val="20"/>
                <w:szCs w:val="20"/>
                <w:highlight w:val="none"/>
              </w:rPr>
              <w:t>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工程服务</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不合格品控制；纠正和预防措施控制；策划管理；过程监控管理；服务过程管理；设备设施管理；不合格品控制；监视和测量设备管理；产品验收管理；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业务部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合同管理；客户管理；采购管理；供方管理。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auto"/>
                <w:spacing w:val="-2"/>
                <w:sz w:val="20"/>
                <w:szCs w:val="20"/>
                <w:highlight w:val="none"/>
              </w:rPr>
            </w:pPr>
            <w:r>
              <w:rPr>
                <w:rFonts w:hint="eastAsia" w:ascii="宋体" w:hAnsi="宋体"/>
                <w:b/>
                <w:color w:val="auto"/>
                <w:spacing w:val="-2"/>
                <w:sz w:val="20"/>
                <w:szCs w:val="20"/>
                <w:highlight w:val="none"/>
              </w:rPr>
              <w:t>分场所名称</w:t>
            </w:r>
          </w:p>
        </w:tc>
        <w:tc>
          <w:tcPr>
            <w:tcW w:w="3249" w:type="dxa"/>
          </w:tcPr>
          <w:p>
            <w:pPr>
              <w:jc w:val="center"/>
              <w:rPr>
                <w:rFonts w:ascii="宋体" w:hAnsi="宋体"/>
                <w:b/>
                <w:color w:val="auto"/>
                <w:sz w:val="20"/>
                <w:szCs w:val="20"/>
                <w:highlight w:val="none"/>
              </w:rPr>
            </w:pPr>
            <w:r>
              <w:rPr>
                <w:rFonts w:hint="eastAsia" w:ascii="宋体" w:hAnsi="宋体"/>
                <w:b/>
                <w:color w:val="auto"/>
                <w:sz w:val="20"/>
                <w:szCs w:val="20"/>
                <w:highlight w:val="none"/>
              </w:rPr>
              <w:t>职能或过程</w:t>
            </w:r>
            <w:r>
              <w:rPr>
                <w:rFonts w:hint="eastAsia" w:ascii="宋体" w:hAnsi="宋体"/>
                <w:b/>
                <w:color w:val="auto"/>
                <w:spacing w:val="-2"/>
                <w:sz w:val="20"/>
                <w:szCs w:val="20"/>
                <w:highlight w:val="none"/>
              </w:rPr>
              <w:t>:</w:t>
            </w:r>
          </w:p>
        </w:tc>
        <w:tc>
          <w:tcPr>
            <w:tcW w:w="3555" w:type="dxa"/>
          </w:tcPr>
          <w:p>
            <w:pPr>
              <w:jc w:val="center"/>
              <w:rPr>
                <w:rFonts w:ascii="宋体" w:hAnsi="宋体"/>
                <w:b/>
                <w:color w:val="auto"/>
                <w:sz w:val="20"/>
                <w:szCs w:val="20"/>
                <w:highlight w:val="none"/>
              </w:rPr>
            </w:pPr>
            <w:r>
              <w:rPr>
                <w:rFonts w:hint="eastAsia" w:ascii="宋体" w:hAnsi="宋体"/>
                <w:b/>
                <w:color w:val="auto"/>
                <w:sz w:val="20"/>
                <w:szCs w:val="2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61"/>
        <w:gridCol w:w="990"/>
        <w:gridCol w:w="5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61"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90" w:type="dxa"/>
          </w:tcPr>
          <w:p>
            <w:pPr>
              <w:rPr>
                <w:b/>
                <w:color w:val="000000" w:themeColor="text1"/>
                <w:sz w:val="20"/>
                <w:szCs w:val="20"/>
              </w:rPr>
            </w:pPr>
            <w:r>
              <w:rPr>
                <w:rFonts w:hint="eastAsia"/>
                <w:b/>
                <w:color w:val="000000" w:themeColor="text1"/>
                <w:sz w:val="20"/>
                <w:szCs w:val="20"/>
              </w:rPr>
              <w:t>规格</w:t>
            </w:r>
          </w:p>
        </w:tc>
        <w:tc>
          <w:tcPr>
            <w:tcW w:w="5754"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szCs w:val="21"/>
                <w:lang w:val="en-US" w:eastAsia="zh-CN"/>
              </w:rPr>
              <w:t>资质范围内的工程测量；土地利用总体规划及专项规划的编制、设计</w:t>
            </w:r>
          </w:p>
        </w:tc>
        <w:tc>
          <w:tcPr>
            <w:tcW w:w="1161" w:type="dxa"/>
          </w:tcPr>
          <w:p>
            <w:pPr>
              <w:rPr>
                <w:b/>
                <w:color w:val="000000" w:themeColor="text1"/>
                <w:sz w:val="20"/>
                <w:szCs w:val="20"/>
              </w:rPr>
            </w:pPr>
          </w:p>
        </w:tc>
        <w:tc>
          <w:tcPr>
            <w:tcW w:w="990" w:type="dxa"/>
          </w:tcPr>
          <w:p>
            <w:pPr>
              <w:rPr>
                <w:b/>
                <w:color w:val="000000" w:themeColor="text1"/>
                <w:sz w:val="20"/>
                <w:szCs w:val="20"/>
              </w:rPr>
            </w:pPr>
          </w:p>
        </w:tc>
        <w:tc>
          <w:tcPr>
            <w:tcW w:w="5754" w:type="dxa"/>
          </w:tcPr>
          <w:p>
            <w:pPr>
              <w:spacing w:line="400" w:lineRule="exact"/>
              <w:jc w:val="left"/>
              <w:rPr>
                <w:b/>
                <w:color w:val="000000" w:themeColor="text1"/>
                <w:sz w:val="20"/>
                <w:szCs w:val="20"/>
              </w:rPr>
            </w:pPr>
            <w:r>
              <w:rPr>
                <w:rFonts w:hint="eastAsia" w:ascii="宋体" w:hAnsi="宋体" w:cs="宋体"/>
                <w:color w:val="auto"/>
                <w:szCs w:val="21"/>
                <w:highlight w:val="none"/>
              </w:rPr>
              <w:t>《全球定位系统（GPS）测量规范》GB/T18314—2016</w:t>
            </w:r>
            <w:r>
              <w:rPr>
                <w:rFonts w:hint="eastAsia" w:ascii="宋体" w:hAnsi="宋体" w:cs="宋体"/>
                <w:color w:val="auto"/>
                <w:szCs w:val="21"/>
                <w:highlight w:val="none"/>
                <w:lang w:eastAsia="zh-CN"/>
              </w:rPr>
              <w:t>、</w:t>
            </w:r>
            <w:r>
              <w:rPr>
                <w:rFonts w:hint="eastAsia" w:ascii="宋体" w:hAnsi="宋体" w:cs="宋体"/>
                <w:color w:val="auto"/>
                <w:szCs w:val="21"/>
                <w:highlight w:val="none"/>
              </w:rPr>
              <w:t>《1:500 1:1000 1:2000地形图航空摄影测量外业规范》GB 7931--2015、《1:500 1:1000 1:2000比例尺地形图航空摄影规范》GB 6962--2005、《基础地理信息应急制图规范》CH/T 4018-2013、《城市地理信息系统设计规范》GB/T 18578-2008、《重庆市城乡规划基础空间数据要求》DB50/T 592-2015、《水土保持规划编制规范》SL/T 335-2014、《</w:t>
            </w:r>
            <w:r>
              <w:rPr>
                <w:rFonts w:hint="eastAsia" w:ascii="宋体" w:hAnsi="宋体" w:cs="宋体"/>
                <w:color w:val="auto"/>
                <w:szCs w:val="21"/>
                <w:highlight w:val="none"/>
                <w:lang w:eastAsia="zh-CN"/>
              </w:rPr>
              <w:t>测量</w:t>
            </w:r>
            <w:r>
              <w:rPr>
                <w:rFonts w:hint="eastAsia" w:ascii="宋体" w:hAnsi="宋体" w:cs="宋体"/>
                <w:color w:val="auto"/>
                <w:szCs w:val="21"/>
                <w:highlight w:val="none"/>
              </w:rPr>
              <w:t>技术设计规定》CH/T1004—2005; 《</w:t>
            </w:r>
            <w:r>
              <w:rPr>
                <w:rFonts w:hint="eastAsia" w:ascii="宋体" w:hAnsi="宋体" w:cs="宋体"/>
                <w:color w:val="auto"/>
                <w:szCs w:val="21"/>
                <w:highlight w:val="none"/>
                <w:lang w:eastAsia="zh-CN"/>
              </w:rPr>
              <w:t>测量</w:t>
            </w:r>
            <w:r>
              <w:rPr>
                <w:rFonts w:hint="eastAsia" w:ascii="宋体" w:hAnsi="宋体" w:cs="宋体"/>
                <w:color w:val="auto"/>
                <w:szCs w:val="21"/>
                <w:highlight w:val="none"/>
              </w:rPr>
              <w:t>产品检查验收规定》GH1002-1995、《</w:t>
            </w:r>
            <w:r>
              <w:rPr>
                <w:rFonts w:hint="eastAsia" w:ascii="宋体" w:hAnsi="宋体" w:cs="宋体"/>
                <w:color w:val="auto"/>
                <w:szCs w:val="21"/>
                <w:highlight w:val="none"/>
                <w:lang w:eastAsia="zh-CN"/>
              </w:rPr>
              <w:t>测量</w:t>
            </w:r>
            <w:r>
              <w:rPr>
                <w:rFonts w:hint="eastAsia" w:ascii="宋体" w:hAnsi="宋体" w:cs="宋体"/>
                <w:color w:val="auto"/>
                <w:szCs w:val="21"/>
                <w:highlight w:val="none"/>
              </w:rPr>
              <w:t>产品质量品评定标准》GH1003-1995、《光电测距仪检定规范》CH 8001-1991、《基础地理信息数字产品数据文件命名规则》CH/T 1005-2000、《</w:t>
            </w:r>
            <w:r>
              <w:rPr>
                <w:rFonts w:hint="eastAsia" w:ascii="宋体" w:hAnsi="宋体" w:cs="宋体"/>
                <w:color w:val="auto"/>
                <w:szCs w:val="21"/>
                <w:highlight w:val="none"/>
                <w:lang w:eastAsia="zh-CN"/>
              </w:rPr>
              <w:t>测量</w:t>
            </w:r>
            <w:r>
              <w:rPr>
                <w:rFonts w:hint="eastAsia" w:ascii="宋体" w:hAnsi="宋体" w:cs="宋体"/>
                <w:color w:val="auto"/>
                <w:szCs w:val="21"/>
                <w:highlight w:val="none"/>
              </w:rPr>
              <w:t>技术总结编写规定》CH/T 1001-2005、《</w:t>
            </w:r>
            <w:r>
              <w:rPr>
                <w:rFonts w:hint="eastAsia" w:ascii="宋体" w:hAnsi="宋体" w:cs="宋体"/>
                <w:color w:val="auto"/>
                <w:szCs w:val="21"/>
                <w:highlight w:val="none"/>
                <w:lang w:eastAsia="zh-CN"/>
              </w:rPr>
              <w:t>测量</w:t>
            </w:r>
            <w:r>
              <w:rPr>
                <w:rFonts w:hint="eastAsia" w:ascii="宋体" w:hAnsi="宋体" w:cs="宋体"/>
                <w:color w:val="auto"/>
                <w:szCs w:val="21"/>
                <w:highlight w:val="none"/>
              </w:rPr>
              <w:t>成果质量检验报告编写基本规定》CH/Z 1001-2007</w:t>
            </w:r>
            <w:r>
              <w:rPr>
                <w:rFonts w:hint="eastAsia" w:ascii="宋体" w:hAnsi="宋体" w:cs="宋体"/>
                <w:color w:val="auto"/>
                <w:szCs w:val="21"/>
                <w:highlight w:val="none"/>
                <w:lang w:val="en-US" w:eastAsia="zh-CN"/>
              </w:rPr>
              <w:t>及客户技术要求等</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161" w:type="dxa"/>
          </w:tcPr>
          <w:p>
            <w:pPr>
              <w:rPr>
                <w:b/>
                <w:color w:val="000000" w:themeColor="text1"/>
                <w:sz w:val="20"/>
                <w:szCs w:val="20"/>
              </w:rPr>
            </w:pPr>
          </w:p>
        </w:tc>
        <w:tc>
          <w:tcPr>
            <w:tcW w:w="990" w:type="dxa"/>
          </w:tcPr>
          <w:p>
            <w:pPr>
              <w:rPr>
                <w:b/>
                <w:color w:val="000000" w:themeColor="text1"/>
                <w:sz w:val="20"/>
                <w:szCs w:val="20"/>
              </w:rPr>
            </w:pPr>
          </w:p>
        </w:tc>
        <w:tc>
          <w:tcPr>
            <w:tcW w:w="5754"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161" w:type="dxa"/>
          </w:tcPr>
          <w:p>
            <w:pPr>
              <w:rPr>
                <w:b/>
                <w:color w:val="000000" w:themeColor="text1"/>
                <w:sz w:val="20"/>
                <w:szCs w:val="20"/>
              </w:rPr>
            </w:pPr>
          </w:p>
        </w:tc>
        <w:tc>
          <w:tcPr>
            <w:tcW w:w="990" w:type="dxa"/>
          </w:tcPr>
          <w:p>
            <w:pPr>
              <w:rPr>
                <w:b/>
                <w:color w:val="000000" w:themeColor="text1"/>
                <w:sz w:val="20"/>
                <w:szCs w:val="20"/>
              </w:rPr>
            </w:pPr>
          </w:p>
        </w:tc>
        <w:tc>
          <w:tcPr>
            <w:tcW w:w="5754"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2021年1月1</w:t>
      </w:r>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pPr>
            <w:r>
              <w:t>3.</w:t>
            </w:r>
            <w:r>
              <w:rPr>
                <w:rFonts w:hint="eastAsia"/>
              </w:rPr>
              <w:t>■质量/■环境/■职业健康安全方针（组织方针的适宜性/持续适宜性、方针的传达及职工的理解等）</w:t>
            </w:r>
          </w:p>
          <w:p>
            <w:r>
              <w:rPr>
                <w:rFonts w:hint="eastAsia"/>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Theme="minorEastAsia" w:hAnsiTheme="minorEastAsia" w:eastAsiaTheme="minorEastAsia" w:cstheme="minorEastAsia"/>
                <w:szCs w:val="21"/>
              </w:rPr>
              <w:t>质量、环境、职业健康安全方针：“</w:t>
            </w:r>
            <w:r>
              <w:rPr>
                <w:rFonts w:hint="eastAsia" w:asciiTheme="minorEastAsia" w:hAnsiTheme="minorEastAsia" w:eastAsiaTheme="minorEastAsia" w:cstheme="minorEastAsia"/>
                <w:szCs w:val="21"/>
                <w:lang w:val="en-US" w:eastAsia="zh-CN"/>
              </w:rPr>
              <w:t>专业为先，质量为本；守法诚信，服务至上。</w:t>
            </w:r>
            <w:r>
              <w:rPr>
                <w:rFonts w:hint="eastAsia" w:asciiTheme="minorEastAsia" w:hAnsiTheme="minorEastAsia" w:eastAsiaTheme="minorEastAsia" w:cstheme="minorEastAsia"/>
                <w:szCs w:val="21"/>
              </w:rPr>
              <w:t>预防为主，控制服务过程环境因素和不可接受风险；强化监督，遵守有关的环保和安全法律法规；以人为本，维护员工的权益和职业安全健康；降耗减排，合理利用资源、施加环境影响，减少各类污染排放；科学管理，实现环保和安全绩效的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rPr>
              <w:t>质量管理体系过程</w:t>
            </w:r>
            <w:r>
              <w:rPr>
                <w:rFonts w:hint="eastAsia" w:ascii="宋体" w:hAnsi="宋体"/>
                <w:b/>
                <w:color w:val="000000" w:themeColor="text1"/>
                <w:sz w:val="20"/>
                <w:szCs w:val="20"/>
                <w:highlight w:val="none"/>
              </w:rPr>
              <w:t>有：合同评审、</w:t>
            </w:r>
            <w:r>
              <w:rPr>
                <w:rFonts w:hint="eastAsia" w:ascii="宋体" w:hAnsi="宋体"/>
                <w:b/>
                <w:color w:val="000000" w:themeColor="text1"/>
                <w:sz w:val="20"/>
                <w:szCs w:val="20"/>
                <w:highlight w:val="none"/>
                <w:lang w:eastAsia="zh-CN"/>
              </w:rPr>
              <w:t>测量</w:t>
            </w:r>
            <w:r>
              <w:rPr>
                <w:rFonts w:hint="eastAsia" w:ascii="宋体" w:hAnsi="宋体"/>
                <w:b/>
                <w:color w:val="000000" w:themeColor="text1"/>
                <w:sz w:val="20"/>
                <w:szCs w:val="20"/>
                <w:highlight w:val="none"/>
              </w:rPr>
              <w:t>、编制、交付过程等。</w:t>
            </w:r>
          </w:p>
          <w:p>
            <w:pPr>
              <w:tabs>
                <w:tab w:val="left" w:pos="540"/>
              </w:tabs>
              <w:spacing w:line="300" w:lineRule="exact"/>
              <w:ind w:left="201" w:hanging="201" w:hangingChars="100"/>
              <w:rPr>
                <w:rFonts w:ascii="宋体" w:hAnsi="宋体"/>
                <w:b/>
                <w:color w:val="000000" w:themeColor="text1"/>
                <w:sz w:val="20"/>
                <w:szCs w:val="20"/>
                <w:highlight w:val="none"/>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eastAsia="zh-CN"/>
              </w:rPr>
              <w:t>测量</w:t>
            </w:r>
            <w:r>
              <w:rPr>
                <w:rFonts w:hint="eastAsia" w:ascii="宋体" w:hAnsi="宋体"/>
                <w:b/>
                <w:color w:val="000000" w:themeColor="text1"/>
                <w:sz w:val="20"/>
                <w:szCs w:val="20"/>
                <w:highlight w:val="none"/>
              </w:rPr>
              <w:t>、</w:t>
            </w:r>
            <w:r>
              <w:rPr>
                <w:rFonts w:hint="eastAsia" w:ascii="宋体" w:hAnsi="宋体"/>
                <w:b/>
                <w:color w:val="000000" w:themeColor="text1"/>
                <w:sz w:val="20"/>
                <w:szCs w:val="20"/>
                <w:highlight w:val="none"/>
                <w:lang w:val="en-US" w:eastAsia="zh-CN"/>
              </w:rPr>
              <w:t>方案</w:t>
            </w:r>
            <w:r>
              <w:rPr>
                <w:rFonts w:hint="eastAsia" w:ascii="宋体" w:hAnsi="宋体"/>
                <w:b/>
                <w:color w:val="000000" w:themeColor="text1"/>
                <w:sz w:val="20"/>
                <w:szCs w:val="20"/>
                <w:highlight w:val="none"/>
              </w:rPr>
              <w:t>编制</w:t>
            </w:r>
          </w:p>
          <w:p>
            <w:pPr>
              <w:tabs>
                <w:tab w:val="left" w:pos="540"/>
              </w:tabs>
              <w:spacing w:line="300" w:lineRule="exact"/>
              <w:ind w:left="201" w:hanging="201" w:hangingChars="100"/>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 xml:space="preserve">需要确认过程： </w:t>
            </w:r>
            <w:r>
              <w:rPr>
                <w:rFonts w:hint="eastAsia" w:ascii="宋体" w:hAnsi="宋体"/>
                <w:b/>
                <w:color w:val="000000" w:themeColor="text1"/>
                <w:sz w:val="20"/>
                <w:szCs w:val="20"/>
                <w:highlight w:val="none"/>
                <w:lang w:val="en-US" w:eastAsia="zh-CN"/>
              </w:rPr>
              <w:t>测量过程</w:t>
            </w:r>
          </w:p>
          <w:p>
            <w:pPr>
              <w:tabs>
                <w:tab w:val="left" w:pos="1080"/>
              </w:tabs>
              <w:spacing w:line="400" w:lineRule="exact"/>
              <w:rPr>
                <w:rFonts w:ascii="宋体" w:hAnsi="宋体"/>
                <w:b/>
                <w:color w:val="000000" w:themeColor="text1"/>
                <w:szCs w:val="21"/>
              </w:rPr>
            </w:pPr>
            <w:r>
              <w:rPr>
                <w:rFonts w:hint="eastAsia" w:ascii="宋体" w:hAnsi="宋体"/>
                <w:b/>
                <w:color w:val="000000" w:themeColor="text1"/>
                <w:sz w:val="20"/>
                <w:szCs w:val="20"/>
              </w:rPr>
              <w:t>不适用条款</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w:t>
            </w:r>
            <w:r>
              <w:rPr>
                <w:rFonts w:hint="eastAsia" w:ascii="宋体" w:hAnsi="宋体"/>
                <w:color w:val="000000"/>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w:t>
            </w:r>
            <w:r>
              <w:rPr>
                <w:rFonts w:hint="eastAsia" w:asciiTheme="minorEastAsia" w:hAnsiTheme="minorEastAsia" w:eastAsiaTheme="minorEastAsia"/>
                <w:bCs/>
                <w:iCs/>
                <w:highlight w:val="none"/>
              </w:rPr>
              <w:t>，识别了整个过程的环境影响。具体控制措施，包括：固废排放的控制、潜在火灾的应急预案等。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numPr>
                <w:ilvl w:val="0"/>
                <w:numId w:val="2"/>
              </w:numPr>
              <w:tabs>
                <w:tab w:val="left" w:pos="1080"/>
              </w:tabs>
              <w:spacing w:line="400" w:lineRule="exact"/>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w:t>
            </w:r>
            <w:r>
              <w:rPr>
                <w:rFonts w:hint="eastAsia" w:ascii="宋体" w:hAnsi="宋体"/>
                <w:color w:val="000000" w:themeColor="text1"/>
                <w:lang w:eastAsia="zh-CN"/>
              </w:rPr>
              <w:t>：</w:t>
            </w:r>
            <w:r>
              <w:rPr>
                <w:rFonts w:hint="eastAsia" w:ascii="宋体" w:hAnsi="宋体"/>
                <w:color w:val="000000" w:themeColor="text1"/>
                <w:lang w:val="en-US" w:eastAsia="zh-CN"/>
              </w:rPr>
              <w:t>1、</w:t>
            </w:r>
            <w:r>
              <w:rPr>
                <w:rFonts w:hint="eastAsia"/>
                <w:szCs w:val="21"/>
                <w:highlight w:val="none"/>
              </w:rPr>
              <w:t>火灾伤害；2、摔伤、碰伤等意外伤害；3、用电、交通重大伤亡事故。</w:t>
            </w:r>
            <w:r>
              <w:rPr>
                <w:rFonts w:hint="eastAsia"/>
                <w:szCs w:val="21"/>
              </w:rPr>
              <w:t>与之相关的过程有合同评审、方案设计、方案实施、</w:t>
            </w:r>
            <w:r>
              <w:rPr>
                <w:rFonts w:hint="eastAsia" w:ascii="宋体" w:hAnsi="宋体"/>
                <w:color w:val="000000" w:themeColor="text1"/>
              </w:rPr>
              <w:t>交付过程</w:t>
            </w:r>
            <w:r>
              <w:rPr>
                <w:rFonts w:hint="eastAsia" w:ascii="宋体" w:hAnsi="宋体"/>
                <w:color w:val="000000" w:themeColor="text1"/>
                <w:lang w:val="en-US" w:eastAsia="zh-CN"/>
              </w:rPr>
              <w:t>等，并制定有控制措施</w:t>
            </w: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ascii="宋体" w:hAnsi="宋体" w:cs="宋体"/>
                <w:color w:val="000000"/>
                <w:kern w:val="0"/>
                <w:szCs w:val="21"/>
                <w:highlight w:val="none"/>
              </w:rPr>
            </w:pPr>
            <w:r>
              <w:rPr>
                <w:rFonts w:hint="eastAsia" w:ascii="宋体" w:hAnsi="宋体" w:cs="宋体"/>
                <w:color w:val="000000"/>
                <w:kern w:val="0"/>
                <w:szCs w:val="21"/>
              </w:rPr>
              <w:t>管理目标、指标的实现情况：（考</w:t>
            </w:r>
            <w:r>
              <w:rPr>
                <w:rFonts w:hint="eastAsia" w:ascii="宋体" w:hAnsi="宋体" w:cs="宋体"/>
                <w:color w:val="000000"/>
                <w:kern w:val="0"/>
                <w:szCs w:val="21"/>
                <w:highlight w:val="none"/>
              </w:rPr>
              <w:t>核时间：20</w:t>
            </w:r>
            <w:r>
              <w:rPr>
                <w:rFonts w:hint="eastAsia" w:ascii="宋体" w:hAnsi="宋体" w:cs="宋体"/>
                <w:color w:val="000000"/>
                <w:kern w:val="0"/>
                <w:szCs w:val="21"/>
                <w:highlight w:val="none"/>
                <w:lang w:val="en-US" w:eastAsia="zh-CN"/>
              </w:rPr>
              <w:t>21</w:t>
            </w:r>
            <w:r>
              <w:rPr>
                <w:rFonts w:hint="eastAsia" w:ascii="宋体" w:hAnsi="宋体" w:cs="宋体"/>
                <w:color w:val="000000"/>
                <w:kern w:val="0"/>
                <w:szCs w:val="21"/>
                <w:highlight w:val="none"/>
              </w:rPr>
              <w:t>年1月-202</w:t>
            </w:r>
            <w:r>
              <w:rPr>
                <w:rFonts w:hint="eastAsia" w:ascii="宋体" w:hAnsi="宋体" w:cs="宋体"/>
                <w:color w:val="000000"/>
                <w:kern w:val="0"/>
                <w:szCs w:val="21"/>
                <w:highlight w:val="none"/>
                <w:lang w:val="en-US" w:eastAsia="zh-CN"/>
              </w:rPr>
              <w:t>1</w:t>
            </w:r>
            <w:r>
              <w:rPr>
                <w:rFonts w:hint="eastAsia" w:ascii="宋体" w:hAnsi="宋体" w:cs="宋体"/>
                <w:color w:val="000000"/>
                <w:kern w:val="0"/>
                <w:szCs w:val="21"/>
                <w:highlight w:val="none"/>
              </w:rPr>
              <w:t>年</w:t>
            </w:r>
            <w:r>
              <w:rPr>
                <w:rFonts w:hint="eastAsia" w:ascii="宋体" w:hAnsi="宋体" w:cs="宋体"/>
                <w:color w:val="000000"/>
                <w:kern w:val="0"/>
                <w:szCs w:val="21"/>
                <w:highlight w:val="none"/>
                <w:lang w:val="en-US" w:eastAsia="zh-CN"/>
              </w:rPr>
              <w:t>4</w:t>
            </w:r>
            <w:r>
              <w:rPr>
                <w:rFonts w:hint="eastAsia" w:ascii="宋体" w:hAnsi="宋体" w:cs="宋体"/>
                <w:color w:val="000000"/>
                <w:kern w:val="0"/>
                <w:szCs w:val="21"/>
                <w:highlight w:val="none"/>
              </w:rPr>
              <w:t>月）</w:t>
            </w:r>
          </w:p>
          <w:p>
            <w:pP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质量目标：</w:t>
            </w:r>
          </w:p>
          <w:p>
            <w:pPr>
              <w:ind w:firstLine="630" w:firstLineChars="3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顾客投诉≤3次/年；</w:t>
            </w:r>
            <w:r>
              <w:rPr>
                <w:rFonts w:hint="eastAsia" w:asciiTheme="minorEastAsia" w:hAnsiTheme="minorEastAsia" w:eastAsiaTheme="minorEastAsia" w:cstheme="minorEastAsia"/>
                <w:szCs w:val="21"/>
                <w:highlight w:val="none"/>
                <w:lang w:val="en-US" w:eastAsia="zh-CN"/>
              </w:rPr>
              <w:t xml:space="preserve">                            实测：0</w:t>
            </w:r>
          </w:p>
          <w:p>
            <w:pPr>
              <w:tabs>
                <w:tab w:val="left" w:pos="5466"/>
              </w:tabs>
              <w:ind w:firstLine="630" w:firstLineChars="3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服务合格率100﹪。</w:t>
            </w:r>
            <w:r>
              <w:rPr>
                <w:rFonts w:hint="eastAsia" w:asciiTheme="minorEastAsia" w:hAnsiTheme="minorEastAsia" w:eastAsiaTheme="minorEastAsia" w:cstheme="minorEastAsia"/>
                <w:szCs w:val="21"/>
                <w:highlight w:val="none"/>
                <w:lang w:eastAsia="zh-CN"/>
              </w:rPr>
              <w:tab/>
            </w:r>
            <w:r>
              <w:rPr>
                <w:rFonts w:hint="eastAsia" w:asciiTheme="minorEastAsia" w:hAnsiTheme="minorEastAsia" w:eastAsiaTheme="minorEastAsia" w:cstheme="minorEastAsia"/>
                <w:szCs w:val="21"/>
                <w:highlight w:val="none"/>
                <w:lang w:val="en-US" w:eastAsia="zh-CN"/>
              </w:rPr>
              <w:t>实测：100%</w:t>
            </w:r>
          </w:p>
          <w:p>
            <w:pPr>
              <w:tabs>
                <w:tab w:val="left" w:pos="5486"/>
              </w:tabs>
              <w:ind w:firstLine="630" w:firstLineChars="3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满意率调查得分9</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分以上</w:t>
            </w:r>
            <w:r>
              <w:rPr>
                <w:rFonts w:hint="eastAsia" w:asciiTheme="minorEastAsia" w:hAnsiTheme="minorEastAsia" w:eastAsiaTheme="minorEastAsia" w:cstheme="minorEastAsia"/>
                <w:szCs w:val="21"/>
                <w:highlight w:val="none"/>
                <w:lang w:eastAsia="zh-CN"/>
              </w:rPr>
              <w:tab/>
            </w:r>
            <w:r>
              <w:rPr>
                <w:rFonts w:hint="eastAsia" w:asciiTheme="minorEastAsia" w:hAnsiTheme="minorEastAsia" w:eastAsiaTheme="minorEastAsia" w:cstheme="minorEastAsia"/>
                <w:szCs w:val="21"/>
                <w:highlight w:val="none"/>
                <w:lang w:val="en-US" w:eastAsia="zh-CN"/>
              </w:rPr>
              <w:t>实测：91%</w:t>
            </w:r>
          </w:p>
          <w:p>
            <w:pP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环境/职业健康安全目标指标</w:t>
            </w:r>
            <w:r>
              <w:rPr>
                <w:rFonts w:hint="eastAsia" w:asciiTheme="minorEastAsia" w:hAnsiTheme="minorEastAsia" w:eastAsiaTheme="minorEastAsia" w:cstheme="minorEastAsia"/>
                <w:szCs w:val="21"/>
                <w:highlight w:val="none"/>
                <w:lang w:val="en-US" w:eastAsia="zh-CN"/>
              </w:rPr>
              <w:t>:</w:t>
            </w:r>
          </w:p>
          <w:p>
            <w:pPr>
              <w:tabs>
                <w:tab w:val="left" w:pos="5696"/>
              </w:tabs>
              <w:ind w:firstLine="630" w:firstLineChars="3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废弃物的回收率达到100%；</w:t>
            </w:r>
            <w:r>
              <w:rPr>
                <w:rFonts w:hint="eastAsia" w:asciiTheme="minorEastAsia" w:hAnsiTheme="minorEastAsia" w:eastAsiaTheme="minorEastAsia" w:cstheme="minorEastAsia"/>
                <w:szCs w:val="21"/>
                <w:highlight w:val="none"/>
                <w:lang w:val="en-US" w:eastAsia="zh-CN"/>
              </w:rPr>
              <w:t xml:space="preserve">                      实测：100%</w:t>
            </w:r>
          </w:p>
          <w:p>
            <w:pPr>
              <w:tabs>
                <w:tab w:val="left" w:pos="5846"/>
              </w:tabs>
              <w:ind w:firstLine="630" w:firstLineChars="3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杜绝安全服务事故发生；</w:t>
            </w:r>
            <w:r>
              <w:rPr>
                <w:rFonts w:hint="eastAsia" w:asciiTheme="minorEastAsia" w:hAnsiTheme="minorEastAsia" w:eastAsiaTheme="minorEastAsia" w:cstheme="minorEastAsia"/>
                <w:szCs w:val="21"/>
                <w:highlight w:val="none"/>
                <w:lang w:val="en-US" w:eastAsia="zh-CN"/>
              </w:rPr>
              <w:t xml:space="preserve">                        实测：0</w:t>
            </w:r>
          </w:p>
          <w:p>
            <w:pPr>
              <w:tabs>
                <w:tab w:val="left" w:pos="5806"/>
              </w:tabs>
              <w:ind w:firstLine="630" w:firstLineChars="3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杜绝火灾事故</w:t>
            </w:r>
            <w:r>
              <w:rPr>
                <w:rFonts w:hint="eastAsia" w:asciiTheme="minorEastAsia" w:hAnsiTheme="minorEastAsia" w:eastAsiaTheme="minorEastAsia" w:cstheme="minorEastAsia"/>
                <w:szCs w:val="21"/>
                <w:highlight w:val="none"/>
                <w:lang w:val="en-US" w:eastAsia="zh-CN"/>
              </w:rPr>
              <w:t xml:space="preserve">                                   实测：0</w:t>
            </w:r>
          </w:p>
          <w:p>
            <w:pPr>
              <w:tabs>
                <w:tab w:val="left" w:pos="5986"/>
              </w:tabs>
              <w:ind w:firstLine="630" w:firstLineChars="3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t>重大人身事故为0。</w:t>
            </w:r>
            <w:r>
              <w:rPr>
                <w:rFonts w:hint="eastAsia" w:asciiTheme="minorEastAsia" w:hAnsiTheme="minorEastAsia" w:eastAsiaTheme="minorEastAsia" w:cstheme="minorEastAsia"/>
                <w:szCs w:val="21"/>
                <w:highlight w:val="none"/>
                <w:lang w:val="en-US" w:eastAsia="zh-CN"/>
              </w:rPr>
              <w:t xml:space="preserve">                             实测：0</w:t>
            </w:r>
          </w:p>
          <w:p>
            <w:pPr>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公司按照申请认证的标准要求，建立并形成了文件化的质量、</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Arial"/>
                <w:color w:val="000000" w:themeColor="text1"/>
              </w:rPr>
              <w:t xml:space="preserve"> </w:t>
            </w:r>
            <w:r>
              <w:rPr>
                <w:rFonts w:hint="eastAsia" w:ascii="宋体" w:hAnsi="宋体" w:cs="宋体"/>
                <w:color w:val="000000" w:themeColor="text1"/>
              </w:rPr>
              <w:t>年1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工程测量；土地利用总体规划及专项规划的编制、设计</w:t>
            </w:r>
            <w:r>
              <w:rPr>
                <w:rFonts w:hint="eastAsia" w:ascii="宋体" w:hAnsi="宋体"/>
                <w:szCs w:val="21"/>
              </w:rPr>
              <w:t>的</w:t>
            </w:r>
            <w:r>
              <w:rPr>
                <w:rFonts w:hint="eastAsia" w:ascii="宋体" w:hAnsi="宋体"/>
                <w:bCs/>
                <w:iCs/>
                <w:szCs w:val="22"/>
              </w:rPr>
              <w:t>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rPr>
                <w:rFonts w:ascii="宋体" w:hAnsi="宋体"/>
                <w:b/>
                <w:color w:val="000000" w:themeColor="text1"/>
                <w:sz w:val="20"/>
                <w:szCs w:val="20"/>
                <w:highlight w:val="none"/>
              </w:rPr>
            </w:pPr>
            <w:r>
              <w:rPr>
                <w:rFonts w:hint="eastAsia" w:ascii="宋体" w:hAnsi="宋体"/>
                <w:szCs w:val="21"/>
                <w:highlight w:val="none"/>
              </w:rPr>
              <w:t>公司拥有办公面积</w:t>
            </w:r>
            <w:r>
              <w:rPr>
                <w:rFonts w:hint="eastAsia" w:ascii="宋体" w:hAnsi="宋体"/>
                <w:szCs w:val="21"/>
                <w:highlight w:val="none"/>
                <w:lang w:val="en-US" w:eastAsia="zh-CN"/>
              </w:rPr>
              <w:t>130</w:t>
            </w:r>
            <w:r>
              <w:rPr>
                <w:rFonts w:hint="eastAsia" w:ascii="宋体" w:hAnsi="宋体"/>
                <w:szCs w:val="21"/>
                <w:highlight w:val="none"/>
              </w:rPr>
              <w:t>平方米</w:t>
            </w:r>
            <w:r>
              <w:rPr>
                <w:rFonts w:hint="eastAsia" w:ascii="宋体" w:hAnsi="宋体" w:cs="宋体"/>
                <w:szCs w:val="21"/>
                <w:highlight w:val="none"/>
              </w:rPr>
              <w:t>，主要设备为</w:t>
            </w:r>
            <w:r>
              <w:rPr>
                <w:rFonts w:hint="eastAsia" w:ascii="宋体" w:hAnsi="宋体" w:eastAsia="宋体" w:cs="Times New Roman"/>
                <w:szCs w:val="21"/>
                <w:highlight w:val="none"/>
              </w:rPr>
              <w:t>GNSS接收机、</w:t>
            </w:r>
            <w:r>
              <w:rPr>
                <w:rFonts w:hint="eastAsia" w:ascii="宋体" w:hAnsi="宋体" w:cs="Times New Roman"/>
                <w:szCs w:val="21"/>
                <w:highlight w:val="none"/>
                <w:lang w:val="en-US" w:eastAsia="zh-CN"/>
              </w:rPr>
              <w:t>水准仪、全站仪、</w:t>
            </w:r>
            <w:r>
              <w:rPr>
                <w:rFonts w:hint="eastAsia" w:ascii="宋体" w:hAnsi="宋体" w:eastAsia="宋体" w:cs="宋体"/>
                <w:szCs w:val="21"/>
                <w:highlight w:val="none"/>
              </w:rPr>
              <w:t>电脑</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打印机</w:t>
            </w:r>
            <w:r>
              <w:rPr>
                <w:rFonts w:hint="eastAsia" w:ascii="宋体" w:hAnsi="宋体" w:cs="宋体"/>
                <w:szCs w:val="21"/>
                <w:highlight w:val="none"/>
                <w:lang w:val="en-US" w:eastAsia="zh-CN"/>
              </w:rPr>
              <w:t>等</w:t>
            </w:r>
            <w:r>
              <w:rPr>
                <w:rFonts w:hint="eastAsia" w:ascii="宋体" w:hAnsi="宋体" w:eastAsia="宋体" w:cs="宋体"/>
                <w:szCs w:val="21"/>
                <w:highlight w:val="none"/>
              </w:rPr>
              <w:t>办</w:t>
            </w:r>
            <w:r>
              <w:rPr>
                <w:rFonts w:hint="eastAsia" w:ascii="宋体" w:hAnsi="宋体" w:cs="宋体"/>
                <w:szCs w:val="21"/>
                <w:highlight w:val="none"/>
              </w:rPr>
              <w:t>公设备，可以满足</w:t>
            </w:r>
            <w:r>
              <w:rPr>
                <w:rFonts w:hint="eastAsia"/>
                <w:szCs w:val="21"/>
                <w:highlight w:val="none"/>
                <w:lang w:val="en-US" w:eastAsia="zh-CN"/>
              </w:rPr>
              <w:t>资质范围内的工程测量；土地利用总体规划及专项规划的编制、设计</w:t>
            </w:r>
            <w:r>
              <w:rPr>
                <w:rFonts w:hint="eastAsia" w:ascii="宋体" w:hAnsi="宋体"/>
                <w:szCs w:val="21"/>
                <w:highlight w:val="none"/>
              </w:rPr>
              <w:t>的</w:t>
            </w:r>
            <w:r>
              <w:rPr>
                <w:rFonts w:hint="eastAsia" w:ascii="宋体" w:hAnsi="宋体" w:cs="宋体"/>
                <w:szCs w:val="21"/>
                <w:highlight w:val="none"/>
              </w:rPr>
              <w:t>需要。特种设备：无。公司未建立信息管理系统用于服务。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办公所场设备布置合理，通道畅通，照明设施齐全，均配备了消防设施等设施。办公室明亮，服务场所光线较充足。每月由综合管理部对工作环境进行定期检查。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b/>
                <w:bCs/>
                <w:highlight w:val="none"/>
              </w:rPr>
            </w:pPr>
            <w:r>
              <w:rPr>
                <w:rFonts w:hint="eastAsia"/>
                <w:b/>
                <w:bCs/>
                <w:highlight w:val="none"/>
              </w:rPr>
              <w:t>监视和测量资源</w:t>
            </w:r>
          </w:p>
          <w:p>
            <w:pPr>
              <w:spacing w:line="400" w:lineRule="exact"/>
              <w:rPr>
                <w:rFonts w:hint="eastAsia" w:eastAsia="宋体"/>
                <w:highlight w:val="none"/>
                <w:lang w:eastAsia="zh-CN"/>
              </w:rPr>
            </w:pPr>
            <w:r>
              <w:rPr>
                <w:rFonts w:hint="eastAsia" w:ascii="宋体" w:hAnsi="宋体" w:cs="宋体"/>
                <w:szCs w:val="21"/>
                <w:highlight w:val="none"/>
              </w:rPr>
              <w:t>配置有</w:t>
            </w:r>
            <w:r>
              <w:rPr>
                <w:rFonts w:hint="eastAsia" w:ascii="宋体" w:hAnsi="宋体" w:eastAsia="宋体" w:cs="Times New Roman"/>
                <w:szCs w:val="21"/>
                <w:highlight w:val="none"/>
              </w:rPr>
              <w:t>GNSS接收机、</w:t>
            </w:r>
            <w:r>
              <w:rPr>
                <w:rFonts w:hint="eastAsia" w:ascii="宋体" w:hAnsi="宋体" w:cs="Times New Roman"/>
                <w:szCs w:val="21"/>
                <w:highlight w:val="none"/>
                <w:lang w:val="en-US" w:eastAsia="zh-CN"/>
              </w:rPr>
              <w:t>水准仪、全站仪等</w:t>
            </w:r>
            <w:r>
              <w:rPr>
                <w:rFonts w:hint="eastAsia" w:ascii="宋体" w:hAnsi="宋体" w:cs="宋体"/>
                <w:szCs w:val="21"/>
                <w:highlight w:val="none"/>
              </w:rPr>
              <w:t>，提供有有效检定证书，能满足</w:t>
            </w:r>
            <w:r>
              <w:rPr>
                <w:rFonts w:hint="eastAsia" w:ascii="宋体" w:hAnsi="宋体" w:cs="宋体"/>
                <w:szCs w:val="21"/>
                <w:highlight w:val="none"/>
                <w:lang w:eastAsia="zh-CN"/>
              </w:rPr>
              <w:t>测量</w:t>
            </w:r>
            <w:r>
              <w:rPr>
                <w:rFonts w:hint="eastAsia" w:ascii="宋体" w:hAnsi="宋体" w:cs="宋体"/>
                <w:szCs w:val="21"/>
                <w:highlight w:val="none"/>
              </w:rPr>
              <w:t>需求</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配电箱、灭火器等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rPr>
              <w:t>（EMS对重要环境因素控制，重大环境因素</w:t>
            </w:r>
            <w:r>
              <w:rPr>
                <w:rFonts w:hint="eastAsia"/>
                <w:b/>
                <w:color w:val="000000" w:themeColor="text1"/>
                <w:sz w:val="20"/>
                <w:szCs w:val="20"/>
                <w:highlight w:val="none"/>
              </w:rPr>
              <w:t>对周边环境产生的影响及控制;对相关方施加影响）</w:t>
            </w:r>
          </w:p>
          <w:p>
            <w:pPr>
              <w:tabs>
                <w:tab w:val="left" w:pos="2552"/>
              </w:tabs>
              <w:spacing w:line="360" w:lineRule="exact"/>
              <w:ind w:firstLine="315" w:firstLineChars="150"/>
              <w:rPr>
                <w:b/>
                <w:color w:val="000000" w:themeColor="text1"/>
                <w:sz w:val="20"/>
                <w:szCs w:val="20"/>
              </w:rPr>
            </w:pPr>
            <w:r>
              <w:rPr>
                <w:rFonts w:hint="eastAsia" w:asciiTheme="minorEastAsia" w:hAnsiTheme="minorEastAsia" w:eastAsiaTheme="minorEastAsia"/>
                <w:bCs/>
                <w:iCs/>
                <w:highlight w:val="none"/>
              </w:rPr>
              <w:t>组织重要环境因素为</w:t>
            </w:r>
            <w:r>
              <w:rPr>
                <w:rFonts w:hint="eastAsia" w:ascii="宋体" w:hAnsi="宋体" w:cs="宋体"/>
                <w:szCs w:val="21"/>
                <w:highlight w:val="none"/>
              </w:rPr>
              <w:t>固废排放、潜在火灾</w:t>
            </w:r>
            <w:r>
              <w:rPr>
                <w:rFonts w:hint="eastAsia" w:asciiTheme="minorEastAsia" w:hAnsiTheme="minorEastAsia" w:eastAsiaTheme="minorEastAsia"/>
                <w:bCs/>
                <w:iCs/>
                <w:highlight w:val="none"/>
              </w:rPr>
              <w:t>，需要应对的风险和机遇相关的过程为维保服务过程，建立了控制过程的识别、策划控制程序，控制措施实施有效性（包括组织自身的污染预防控制及对相关方的控制）；组织在运行策划时，基于产品生命周期的思维，识别了整个过程的环境影响。具体控制措施，包括：固废</w:t>
            </w:r>
            <w:r>
              <w:rPr>
                <w:rFonts w:hint="eastAsia" w:ascii="宋体" w:hAnsi="宋体" w:cs="宋体"/>
                <w:szCs w:val="21"/>
                <w:highlight w:val="none"/>
              </w:rPr>
              <w:t>（含危险固废）</w:t>
            </w:r>
            <w:r>
              <w:rPr>
                <w:rFonts w:hint="eastAsia" w:asciiTheme="minorEastAsia" w:hAnsiTheme="minorEastAsia" w:eastAsiaTheme="minorEastAsia"/>
                <w:bCs/>
                <w:iCs/>
                <w:highlight w:val="none"/>
              </w:rPr>
              <w:t>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w:t>
            </w:r>
            <w:r>
              <w:rPr>
                <w:rFonts w:hint="eastAsia" w:asciiTheme="minorEastAsia" w:hAnsiTheme="minorEastAsia" w:eastAsiaTheme="minorEastAsia"/>
                <w:bCs/>
                <w:iCs/>
                <w:highlight w:val="none"/>
              </w:rPr>
              <w:t>的过程，评价出了</w:t>
            </w:r>
            <w:r>
              <w:rPr>
                <w:rFonts w:hint="eastAsia" w:asciiTheme="minorEastAsia" w:hAnsiTheme="minorEastAsia" w:eastAsiaTheme="minorEastAsia"/>
                <w:bCs/>
                <w:iCs/>
                <w:highlight w:val="none"/>
                <w:lang w:val="en-US" w:eastAsia="zh-CN"/>
              </w:rPr>
              <w:t>1、</w:t>
            </w:r>
            <w:r>
              <w:rPr>
                <w:rFonts w:hint="eastAsia"/>
                <w:szCs w:val="21"/>
                <w:highlight w:val="none"/>
              </w:rPr>
              <w:t>火灾伤害；2、摔伤、碰伤等意外伤害；3、用电、交通重大伤亡事故</w:t>
            </w:r>
            <w:r>
              <w:rPr>
                <w:rFonts w:hint="eastAsia" w:ascii="宋体" w:hAnsi="宋体"/>
                <w:szCs w:val="21"/>
                <w:highlight w:val="none"/>
              </w:rPr>
              <w:t>等</w:t>
            </w:r>
            <w:r>
              <w:rPr>
                <w:rFonts w:hint="eastAsia" w:asciiTheme="minorEastAsia" w:hAnsiTheme="minorEastAsia" w:eastAsiaTheme="minorEastAsia"/>
                <w:bCs/>
                <w:iCs/>
                <w:highlight w:val="none"/>
              </w:rPr>
              <w:t>重要危险源，与之相关的过程有服务、信息处理过程，针对不可接受风险制定了管理方案。控制措施实施有效。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w:t>
            </w:r>
            <w:r>
              <w:rPr>
                <w:rFonts w:hint="eastAsia" w:ascii="宋体" w:hAnsi="宋体" w:cs="宋体"/>
                <w:color w:val="000000"/>
                <w:szCs w:val="21"/>
                <w:highlight w:val="none"/>
              </w:rPr>
              <w:t>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rPr>
              <w:t>2</w:t>
            </w:r>
            <w:r>
              <w:rPr>
                <w:rFonts w:hint="eastAsia" w:ascii="宋体" w:hAnsi="宋体" w:cs="宋体"/>
                <w:szCs w:val="21"/>
                <w:highlight w:val="none"/>
                <w:lang w:val="en-US" w:eastAsia="zh-CN"/>
              </w:rPr>
              <w:t>021</w:t>
            </w:r>
            <w:r>
              <w:rPr>
                <w:rFonts w:hint="eastAsia" w:ascii="宋体" w:hAnsi="宋体" w:cs="宋体"/>
                <w:szCs w:val="21"/>
                <w:highlight w:val="none"/>
              </w:rPr>
              <w:t>年1月-202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4</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w:t>
            </w:r>
            <w:r>
              <w:rPr>
                <w:rFonts w:hint="eastAsia" w:ascii="宋体" w:hAnsi="宋体" w:cs="宋体"/>
                <w:color w:val="000000"/>
                <w:szCs w:val="21"/>
                <w:highlight w:val="none"/>
              </w:rPr>
              <w:t>的利用上不够，需要改善。近年来未发生重大顾客投诉和产品质量事故。顾客满意度调查按规定实施，</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2</w:t>
            </w:r>
            <w:r>
              <w:rPr>
                <w:rFonts w:hint="eastAsia" w:ascii="宋体" w:hAnsi="宋体" w:cs="宋体"/>
                <w:szCs w:val="21"/>
                <w:highlight w:val="none"/>
              </w:rPr>
              <w:t>月实施，满意度评价9</w:t>
            </w:r>
            <w:r>
              <w:rPr>
                <w:rFonts w:hint="eastAsia" w:ascii="宋体" w:hAnsi="宋体" w:cs="宋体"/>
                <w:szCs w:val="21"/>
                <w:highlight w:val="none"/>
                <w:lang w:val="en-US" w:eastAsia="zh-CN"/>
              </w:rPr>
              <w:t>1%</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w:t>
            </w:r>
            <w:r>
              <w:rPr>
                <w:rFonts w:hint="eastAsia" w:ascii="宋体" w:hAnsi="宋体"/>
                <w:szCs w:val="21"/>
                <w:highlight w:val="none"/>
              </w:rPr>
              <w:t>内审时间：202</w:t>
            </w:r>
            <w:r>
              <w:rPr>
                <w:rFonts w:hint="eastAsia" w:ascii="宋体" w:hAnsi="宋体"/>
                <w:szCs w:val="21"/>
                <w:highlight w:val="none"/>
                <w:lang w:val="en-US" w:eastAsia="zh-CN"/>
              </w:rPr>
              <w:t>1</w:t>
            </w:r>
            <w:r>
              <w:rPr>
                <w:rFonts w:hint="eastAsia" w:ascii="宋体" w:hAnsi="宋体"/>
                <w:szCs w:val="21"/>
                <w:highlight w:val="none"/>
              </w:rPr>
              <w:t>年</w:t>
            </w:r>
            <w:r>
              <w:rPr>
                <w:rFonts w:hint="eastAsia" w:ascii="宋体" w:hAnsi="宋体"/>
                <w:szCs w:val="21"/>
                <w:highlight w:val="none"/>
                <w:lang w:val="en-US" w:eastAsia="zh-CN"/>
              </w:rPr>
              <w:t>4</w:t>
            </w:r>
            <w:r>
              <w:rPr>
                <w:rFonts w:hint="eastAsia" w:ascii="宋体" w:hAnsi="宋体"/>
                <w:szCs w:val="21"/>
                <w:highlight w:val="none"/>
              </w:rPr>
              <w:t>月</w:t>
            </w:r>
            <w:r>
              <w:rPr>
                <w:rFonts w:hint="eastAsia" w:ascii="宋体" w:hAnsi="宋体"/>
                <w:szCs w:val="21"/>
                <w:highlight w:val="none"/>
                <w:lang w:val="en-US" w:eastAsia="zh-CN"/>
              </w:rPr>
              <w:t>1</w:t>
            </w:r>
            <w:r>
              <w:rPr>
                <w:rFonts w:hint="eastAsia" w:ascii="宋体" w:hAnsi="宋体"/>
                <w:szCs w:val="21"/>
                <w:highlight w:val="none"/>
              </w:rPr>
              <w:t>日，拟定了审核实施表，明确了内审范围，内审人员经培训合格上岗，能力满足要求，未出现审核本部门情况，内审不符合项</w:t>
            </w:r>
            <w:r>
              <w:rPr>
                <w:rFonts w:hint="eastAsia" w:ascii="宋体" w:hAnsi="宋体"/>
                <w:szCs w:val="21"/>
                <w:highlight w:val="none"/>
                <w:lang w:val="en-US" w:eastAsia="zh-CN"/>
              </w:rPr>
              <w:t>1</w:t>
            </w:r>
            <w:r>
              <w:rPr>
                <w:rFonts w:hint="eastAsia" w:ascii="宋体" w:hAnsi="宋体"/>
                <w:szCs w:val="21"/>
                <w:highlight w:val="none"/>
              </w:rPr>
              <w:t>项，涉及</w:t>
            </w:r>
            <w:r>
              <w:rPr>
                <w:rFonts w:hint="eastAsia" w:ascii="宋体" w:hAnsi="宋体"/>
                <w:szCs w:val="21"/>
                <w:highlight w:val="none"/>
                <w:lang w:val="en-US" w:eastAsia="zh-CN"/>
              </w:rPr>
              <w:t>综合</w:t>
            </w:r>
            <w:r>
              <w:rPr>
                <w:rFonts w:hint="eastAsia" w:ascii="宋体" w:hAnsi="宋体"/>
                <w:szCs w:val="21"/>
                <w:highlight w:val="none"/>
              </w:rPr>
              <w:t>部E/S</w:t>
            </w:r>
            <w:r>
              <w:rPr>
                <w:rFonts w:hint="eastAsia" w:ascii="宋体" w:hAnsi="宋体"/>
                <w:szCs w:val="21"/>
                <w:highlight w:val="none"/>
                <w:lang w:val="en-US" w:eastAsia="zh-CN"/>
              </w:rPr>
              <w:t>9.1.2</w:t>
            </w:r>
            <w:r>
              <w:rPr>
                <w:rFonts w:hint="eastAsia" w:ascii="宋体" w:hAnsi="宋体"/>
                <w:szCs w:val="21"/>
                <w:highlight w:val="none"/>
              </w:rPr>
              <w:t>条款公司未做合规性评价，</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color w:val="000000" w:themeColor="text1"/>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b/>
                <w:color w:val="000000" w:themeColor="text1"/>
                <w:sz w:val="20"/>
                <w:szCs w:val="20"/>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3. 一阶段提出问题的整改情况?</w:t>
            </w:r>
          </w:p>
          <w:p>
            <w:pPr>
              <w:spacing w:line="240" w:lineRule="exact"/>
              <w:rPr>
                <w:b/>
                <w:color w:val="000000" w:themeColor="text1"/>
                <w:spacing w:val="-20"/>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1027"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综合</w:t>
      </w:r>
      <w:r>
        <w:rPr>
          <w:rFonts w:hint="eastAsia"/>
          <w:b/>
          <w:color w:val="000000" w:themeColor="text1"/>
          <w:highlight w:val="none"/>
        </w:rPr>
        <w:t>部门</w:t>
      </w:r>
      <w:r>
        <w:rPr>
          <w:rFonts w:hint="eastAsia"/>
          <w:b/>
          <w:color w:val="000000" w:themeColor="text1"/>
          <w:highlight w:val="none"/>
          <w:lang w:val="en-US" w:eastAsia="zh-CN"/>
        </w:rPr>
        <w:t>ES9.1.1</w:t>
      </w:r>
      <w:r>
        <w:rPr>
          <w:rFonts w:hint="eastAsia"/>
          <w:b/>
          <w:color w:val="000000" w:themeColor="text1"/>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Cs w:val="21"/>
              </w:rPr>
              <w:t>■</w:t>
            </w:r>
            <w:r>
              <w:rPr>
                <w:rFonts w:hint="eastAsia"/>
                <w:b/>
                <w:color w:val="000000" w:themeColor="text1"/>
                <w:sz w:val="22"/>
                <w:szCs w:val="22"/>
              </w:rPr>
              <w:t>QMS</w:t>
            </w:r>
            <w:r>
              <w:rPr>
                <w:rFonts w:hint="eastAsia" w:ascii="宋体" w:hAnsi="宋体" w:eastAsia="宋体" w:cs="宋体"/>
                <w:b/>
                <w:color w:val="000000" w:themeColor="text1"/>
                <w:sz w:val="22"/>
                <w:szCs w:val="22"/>
              </w:rPr>
              <w:t>■</w:t>
            </w:r>
            <w:r>
              <w:rPr>
                <w:rFonts w:hint="eastAsia"/>
                <w:b/>
                <w:color w:val="000000" w:themeColor="text1"/>
                <w:sz w:val="22"/>
                <w:szCs w:val="22"/>
              </w:rPr>
              <w:t xml:space="preserve">EMS  </w:t>
            </w:r>
            <w:r>
              <w:rPr>
                <w:rFonts w:hint="eastAsia" w:ascii="宋体" w:hAnsi="宋体" w:eastAsia="宋体" w:cs="宋体"/>
                <w:b/>
                <w:color w:val="000000" w:themeColor="text1"/>
                <w:sz w:val="22"/>
                <w:szCs w:val="22"/>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1"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审核范围变更，</w:t>
            </w:r>
          </w:p>
          <w:p>
            <w:pPr>
              <w:spacing w:line="320" w:lineRule="exact"/>
            </w:pPr>
            <w:r>
              <w:rPr>
                <w:rFonts w:ascii="宋体" w:hAnsi="宋体"/>
                <w:b/>
                <w:color w:val="000000" w:themeColor="text1"/>
              </w:rPr>
              <w:t>QMS:</w:t>
            </w:r>
            <w:r>
              <w:rPr>
                <w:rFonts w:hint="eastAsia"/>
                <w:szCs w:val="21"/>
                <w:lang w:val="en-US" w:eastAsia="zh-CN"/>
              </w:rPr>
              <w:t>资质范围内的工程测量；土地利用总体规划及专项规划的编制、设计</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szCs w:val="21"/>
                <w:lang w:val="en-US" w:eastAsia="zh-CN"/>
              </w:rPr>
              <w:t>资质范围内的</w:t>
            </w:r>
            <w:r>
              <w:rPr>
                <w:rFonts w:hint="eastAsia"/>
                <w:sz w:val="20"/>
                <w:lang w:eastAsia="zh-CN"/>
              </w:rPr>
              <w:t>工程测量；土地利用总体规划及专项规划的编制、设计</w:t>
            </w:r>
            <w:r>
              <w:rPr>
                <w:sz w:val="20"/>
              </w:rPr>
              <w:t>所涉及场所的相关环境管理活动</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szCs w:val="21"/>
                <w:lang w:val="en-US" w:eastAsia="zh-CN"/>
              </w:rPr>
              <w:t>资质范围内的</w:t>
            </w:r>
            <w:r>
              <w:rPr>
                <w:rFonts w:hint="eastAsia"/>
                <w:sz w:val="20"/>
                <w:lang w:eastAsia="zh-CN"/>
              </w:rPr>
              <w:t>工程测量；土地利用总体规划及专项规划的编制、设计</w:t>
            </w:r>
            <w:r>
              <w:rPr>
                <w:sz w:val="20"/>
              </w:rPr>
              <w:t>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4"/>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ascii="宋体" w:hAnsi="宋体" w:eastAsia="宋体" w:cs="宋体"/>
                <w:b/>
                <w:color w:val="000000" w:themeColor="text1"/>
                <w:spacing w:val="-10"/>
                <w:szCs w:val="21"/>
              </w:rPr>
              <w:t>■</w:t>
            </w:r>
            <w:r>
              <w:rPr>
                <w:rFonts w:hint="eastAsia"/>
                <w:b/>
                <w:color w:val="000000" w:themeColor="text1"/>
                <w:szCs w:val="21"/>
              </w:rPr>
              <w:t xml:space="preserve">EMS   </w:t>
            </w:r>
            <w:r>
              <w:rPr>
                <w:rFonts w:hint="eastAsia" w:ascii="宋体" w:hAnsi="宋体" w:eastAsia="宋体" w:cs="宋体"/>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rPr>
          <w:b/>
          <w:bCs/>
          <w:color w:val="000000" w:themeColor="text1"/>
          <w:szCs w:val="28"/>
          <w:u w:val="single"/>
        </w:rPr>
      </w:pPr>
    </w:p>
    <w:p>
      <w:pPr>
        <w:snapToGrid w:val="0"/>
        <w:spacing w:after="156" w:afterLines="50" w:line="360" w:lineRule="auto"/>
        <w:ind w:left="-130" w:leftChars="-405" w:hanging="720" w:hangingChars="326"/>
        <w:rPr>
          <w:b/>
          <w:color w:val="000000" w:themeColor="text1"/>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1597660</wp:posOffset>
            </wp:positionH>
            <wp:positionV relativeFrom="paragraph">
              <wp:posOffset>347345</wp:posOffset>
            </wp:positionV>
            <wp:extent cx="660400" cy="413385"/>
            <wp:effectExtent l="0" t="0" r="0" b="5715"/>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6"/>
                    <a:stretch>
                      <a:fillRect/>
                    </a:stretch>
                  </pic:blipFill>
                  <pic:spPr>
                    <a:xfrm>
                      <a:off x="0" y="0"/>
                      <a:ext cx="660400" cy="41338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50" w:firstLineChars="250"/>
        <w:rPr>
          <w:b/>
          <w:color w:val="000000" w:themeColor="text1"/>
        </w:rPr>
      </w:pP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3406775</wp:posOffset>
            </wp:positionH>
            <wp:positionV relativeFrom="paragraph">
              <wp:posOffset>208915</wp:posOffset>
            </wp:positionV>
            <wp:extent cx="680720" cy="297180"/>
            <wp:effectExtent l="0" t="0" r="5080" b="7620"/>
            <wp:wrapNone/>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7"/>
                    <a:stretch>
                      <a:fillRect/>
                    </a:stretch>
                  </pic:blipFill>
                  <pic:spPr>
                    <a:xfrm>
                      <a:off x="0" y="0"/>
                      <a:ext cx="680720" cy="297180"/>
                    </a:xfrm>
                    <a:prstGeom prst="rect">
                      <a:avLst/>
                    </a:prstGeom>
                  </pic:spPr>
                </pic:pic>
              </a:graphicData>
            </a:graphic>
          </wp:anchor>
        </w:drawing>
      </w:r>
      <w:r>
        <w:rPr>
          <w:rFonts w:hint="eastAsia"/>
          <w:b/>
          <w:sz w:val="22"/>
          <w:szCs w:val="22"/>
        </w:rPr>
        <w:drawing>
          <wp:anchor distT="0" distB="0" distL="114300" distR="114300" simplePos="0" relativeHeight="251665408" behindDoc="0" locked="0" layoutInCell="1" allowOverlap="1">
            <wp:simplePos x="0" y="0"/>
            <wp:positionH relativeFrom="column">
              <wp:posOffset>2806700</wp:posOffset>
            </wp:positionH>
            <wp:positionV relativeFrom="paragraph">
              <wp:posOffset>193675</wp:posOffset>
            </wp:positionV>
            <wp:extent cx="489585" cy="370840"/>
            <wp:effectExtent l="0" t="0" r="5715" b="1016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8"/>
                    <a:stretch>
                      <a:fillRect/>
                    </a:stretch>
                  </pic:blipFill>
                  <pic:spPr>
                    <a:xfrm>
                      <a:off x="0" y="0"/>
                      <a:ext cx="489585" cy="370840"/>
                    </a:xfrm>
                    <a:prstGeom prst="rect">
                      <a:avLst/>
                    </a:prstGeom>
                    <a:noFill/>
                    <a:ln>
                      <a:noFill/>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1567180</wp:posOffset>
            </wp:positionH>
            <wp:positionV relativeFrom="paragraph">
              <wp:posOffset>219075</wp:posOffset>
            </wp:positionV>
            <wp:extent cx="407035" cy="421005"/>
            <wp:effectExtent l="0" t="0" r="12065" b="10795"/>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pic:cNvPicPr>
                  </pic:nvPicPr>
                  <pic:blipFill>
                    <a:blip r:embed="rId9"/>
                    <a:stretch>
                      <a:fillRect/>
                    </a:stretch>
                  </pic:blipFill>
                  <pic:spPr>
                    <a:xfrm>
                      <a:off x="0" y="0"/>
                      <a:ext cx="407035" cy="421005"/>
                    </a:xfrm>
                    <a:prstGeom prst="rect">
                      <a:avLst/>
                    </a:prstGeom>
                    <a:noFill/>
                    <a:ln>
                      <a:noFill/>
                    </a:ln>
                  </pic:spPr>
                </pic:pic>
              </a:graphicData>
            </a:graphic>
          </wp:anchor>
        </w:drawing>
      </w:r>
      <w:r>
        <w:drawing>
          <wp:anchor distT="0" distB="0" distL="114300" distR="114300" simplePos="0" relativeHeight="251664384" behindDoc="0" locked="0" layoutInCell="1" allowOverlap="1">
            <wp:simplePos x="0" y="0"/>
            <wp:positionH relativeFrom="column">
              <wp:posOffset>2097405</wp:posOffset>
            </wp:positionH>
            <wp:positionV relativeFrom="paragraph">
              <wp:posOffset>170815</wp:posOffset>
            </wp:positionV>
            <wp:extent cx="615315" cy="446405"/>
            <wp:effectExtent l="0" t="0" r="6985" b="10795"/>
            <wp:wrapNone/>
            <wp:docPr id="4" name="图片 5"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C:\Users\24309\AppData\Local\Temp\WeChat Files\5990baca09647c352f1321b31faa90a.jpg"/>
                    <pic:cNvPicPr>
                      <a:picLocks noChangeAspect="1"/>
                    </pic:cNvPicPr>
                  </pic:nvPicPr>
                  <pic:blipFill>
                    <a:blip r:embed="rId10"/>
                    <a:stretch>
                      <a:fillRect/>
                    </a:stretch>
                  </pic:blipFill>
                  <pic:spPr>
                    <a:xfrm>
                      <a:off x="0" y="0"/>
                      <a:ext cx="615315" cy="44640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rFonts w:hint="eastAsia" w:eastAsia="宋体"/>
          <w:b/>
          <w:color w:val="000000" w:themeColor="text1"/>
          <w:sz w:val="16"/>
          <w:szCs w:val="16"/>
          <w:lang w:eastAsia="zh-CN"/>
        </w:rPr>
      </w:pPr>
      <w:r>
        <w:rPr>
          <w:rFonts w:hint="eastAsia"/>
          <w:b/>
          <w:color w:val="000000" w:themeColor="text1"/>
        </w:rPr>
        <w:t>日期</w:t>
      </w:r>
      <w:r>
        <w:rPr>
          <w:rFonts w:hint="eastAsia" w:asciiTheme="minorEastAsia" w:hAnsiTheme="minorEastAsia" w:eastAsiaTheme="minorEastAsia"/>
          <w:b/>
          <w:color w:val="000000" w:themeColor="text1"/>
          <w:lang w:eastAsia="zh-CN"/>
        </w:rPr>
        <w:t>：</w:t>
      </w:r>
      <w:r>
        <w:rPr>
          <w:rFonts w:hint="eastAsia"/>
          <w:b/>
          <w:sz w:val="20"/>
        </w:rPr>
        <w:t>2021年05月24日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rPr>
        <w:t>十五、</w:t>
      </w:r>
      <w:r>
        <w:rPr>
          <w:rFonts w:hint="eastAsia"/>
          <w:b/>
          <w:color w:val="000000" w:themeColor="text1"/>
          <w:sz w:val="26"/>
          <w:szCs w:val="26"/>
          <w:highlight w:val="none"/>
        </w:rPr>
        <w:t>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6432" behindDoc="0" locked="0" layoutInCell="1" allowOverlap="1">
            <wp:simplePos x="0" y="0"/>
            <wp:positionH relativeFrom="column">
              <wp:posOffset>740410</wp:posOffset>
            </wp:positionH>
            <wp:positionV relativeFrom="paragraph">
              <wp:posOffset>92075</wp:posOffset>
            </wp:positionV>
            <wp:extent cx="660400" cy="413385"/>
            <wp:effectExtent l="0" t="0" r="0" b="5715"/>
            <wp:wrapNone/>
            <wp:docPr id="8"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Administrator\Desktop\新文档 2020-01-09 10.59.53_副本.jpg"/>
                    <pic:cNvPicPr>
                      <a:picLocks noChangeAspect="1"/>
                    </pic:cNvPicPr>
                  </pic:nvPicPr>
                  <pic:blipFill>
                    <a:blip r:embed="rId6"/>
                    <a:stretch>
                      <a:fillRect/>
                    </a:stretch>
                  </pic:blipFill>
                  <pic:spPr>
                    <a:xfrm>
                      <a:off x="0" y="0"/>
                      <a:ext cx="660400" cy="413385"/>
                    </a:xfrm>
                    <a:prstGeom prst="rect">
                      <a:avLst/>
                    </a:prstGeom>
                    <a:noFill/>
                    <a:ln>
                      <a:noFill/>
                    </a:ln>
                  </pic:spPr>
                </pic:pic>
              </a:graphicData>
            </a:graphic>
          </wp:anchor>
        </w:drawing>
      </w:r>
      <w:r>
        <w:rPr>
          <w:rFonts w:hint="eastAsia"/>
          <w:b/>
          <w:color w:val="000000" w:themeColor="text1"/>
          <w:szCs w:val="21"/>
        </w:rPr>
        <w:t xml:space="preserve">组长签字: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02B1D46"/>
    <w:multiLevelType w:val="singleLevel"/>
    <w:tmpl w:val="602B1D46"/>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F54F24"/>
    <w:rsid w:val="1E4D29B8"/>
    <w:rsid w:val="292C0477"/>
    <w:rsid w:val="336E3FD0"/>
    <w:rsid w:val="355850C6"/>
    <w:rsid w:val="39711E7A"/>
    <w:rsid w:val="3B4E4C7C"/>
    <w:rsid w:val="520C46A4"/>
    <w:rsid w:val="6A364B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iPriority w:val="0"/>
    <w:rPr>
      <w:color w:val="0000FF"/>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1.tiff"/><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1</TotalTime>
  <ScaleCrop>false</ScaleCrop>
  <LinksUpToDate>false</LinksUpToDate>
  <CharactersWithSpaces>5057</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2021-05-24T11:03:46Z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