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83"/>
        <w:gridCol w:w="114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四川金海纳洲仪器设备有限公司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E：29.12.00;33.02.02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O：29.12.00;33.02.02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1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E：29.12.00;33.02.02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O：29.12.00;33.02.02</w:t>
            </w:r>
          </w:p>
        </w:tc>
        <w:tc>
          <w:tcPr>
            <w:tcW w:w="1147" w:type="dxa"/>
            <w:vAlign w:val="top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</w:t>
            </w:r>
            <w:r>
              <w:rPr>
                <w:b/>
                <w:sz w:val="20"/>
              </w:rPr>
              <w:t>：29.12.00</w:t>
            </w:r>
          </w:p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实验室设施设备系统集成：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合同签订—采购—安装—调试—验收—交付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产品销售：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客户需求——项目洽谈——合同签订——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物料采购——交付——验收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物料采购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设备安装调试</w:t>
            </w:r>
            <w:r>
              <w:rPr>
                <w:rFonts w:hint="eastAsia"/>
                <w:sz w:val="21"/>
                <w:szCs w:val="21"/>
              </w:rPr>
              <w:t>过程，依据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标准和合同</w:t>
            </w:r>
            <w:r>
              <w:rPr>
                <w:rFonts w:hint="eastAsia"/>
                <w:sz w:val="21"/>
                <w:szCs w:val="21"/>
              </w:rPr>
              <w:t>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固废排放、火灾等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通过管理方案和应急预案进行控制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spacing w:val="-8"/>
              </w:rPr>
            </w:pPr>
            <w:r>
              <w:rPr>
                <w:rFonts w:hint="eastAsia"/>
                <w:sz w:val="21"/>
                <w:szCs w:val="21"/>
              </w:rPr>
              <w:t>火灾、触电等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通过管理方案和应急预案进行控制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</w:rPr>
              <w:t xml:space="preserve"> 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化学品的分类和危险性公示 通则、实验室生物安全通用要求、生物安全实验室建筑技术规范、产品合同法、产品质量法、计量法。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主要质量要求：销售产品质量，设备系统调试等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2D3E41"/>
    <w:rsid w:val="1E0B0178"/>
    <w:rsid w:val="689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2019-11-01T13:05:11Z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