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枣阳市润图化工有限责任公司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  <w:t>个别法律法规更新未及时更新，如</w:t>
            </w:r>
            <w:r>
              <w:rPr>
                <w:rFonts w:hint="eastAsia" w:ascii="宋体" w:hAnsi="宋体"/>
                <w:color w:val="0000FF"/>
              </w:rPr>
              <w:t>《危险废物焚烧污染控制标准》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仍为</w:t>
            </w:r>
            <w:r>
              <w:rPr>
                <w:rFonts w:ascii="宋体" w:hAnsi="宋体"/>
                <w:color w:val="0000FF"/>
              </w:rPr>
              <w:t>GB18484-2001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版本已作废，应更新为《危险废物焚烧污染控制标准》（GB 18484-2020）；</w:t>
            </w:r>
            <w:r>
              <w:rPr>
                <w:rFonts w:hint="eastAsia" w:ascii="宋体" w:hAnsi="宋体"/>
                <w:color w:val="0000FF"/>
              </w:rPr>
              <w:t>《一般工业固体废弃物储存、处置场污染控制标准》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仍为</w:t>
            </w:r>
            <w:r>
              <w:rPr>
                <w:rFonts w:ascii="宋体" w:hAnsi="宋体"/>
                <w:color w:val="0000FF"/>
              </w:rPr>
              <w:t>GB18599-2001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版标准已作废，未及时更新为《一般工业固体废物贮存和填埋污染控制标准》(GB 18599-2020)；未识别《一般固体废物分类与代码（GB T 39198-2020）》</w:t>
            </w:r>
            <w:r>
              <w:rPr>
                <w:rFonts w:hint="eastAsia" w:ascii="宋体" w:hAnsi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/>
                <w:color w:val="0000FF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lang w:val="en-US" w:eastAsia="zh-CN"/>
              </w:rPr>
              <w:t>E6.1.3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left="0" w:leftChars="0" w:firstLine="0" w:firstLineChars="0"/>
            </w:pPr>
            <w:r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  <w:t>对新识别</w:t>
            </w:r>
            <w:r>
              <w:rPr>
                <w:rFonts w:hint="eastAsia" w:ascii="宋体" w:hAnsi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  <w:t>或更新</w:t>
            </w:r>
            <w:r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  <w:t>的法律法规进行合规性评价。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0000FF"/>
                <w:lang w:val="en-US"/>
              </w:rPr>
            </w:pPr>
            <w:r>
              <w:rPr>
                <w:rFonts w:hint="eastAsia" w:ascii="宋体" w:hAnsi="宋体"/>
                <w:color w:val="0000FF"/>
                <w:lang w:val="en-US" w:eastAsia="zh-CN"/>
              </w:rPr>
              <w:t>E9.1.2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  <w:t>现场危废库未设防泄漏设施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  <w:t>E8.1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  <w:t>现场审核时危废处置协议已到期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  <w:t>E8.1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  <w:t>未提供经过评审</w:t>
            </w:r>
            <w:r>
              <w:rPr>
                <w:rFonts w:hint="eastAsia" w:ascii="宋体" w:hAnsi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  <w:t>备案</w:t>
            </w:r>
            <w:r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  <w:t>的环境应急预案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FF"/>
                <w:lang w:val="en-US" w:eastAsia="zh-CN"/>
              </w:rPr>
              <w:t>E8.2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  <w:t>环保设施（废水、废气、危废库）现场管理需要细化规范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FF"/>
                <w:lang w:val="en-US" w:eastAsia="zh-CN"/>
              </w:rPr>
              <w:t>E8.1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1640D7"/>
    <w:rsid w:val="06D8047D"/>
    <w:rsid w:val="143E79BF"/>
    <w:rsid w:val="1ECA39D5"/>
    <w:rsid w:val="35B8291B"/>
    <w:rsid w:val="533F4ED2"/>
    <w:rsid w:val="62916155"/>
    <w:rsid w:val="67310148"/>
    <w:rsid w:val="7D427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链接"/>
    <w:qFormat/>
    <w:uiPriority w:val="0"/>
    <w:pPr>
      <w:widowControl w:val="0"/>
      <w:autoSpaceDE w:val="0"/>
      <w:autoSpaceDN w:val="0"/>
      <w:adjustRightInd w:val="0"/>
      <w:ind w:left="720"/>
    </w:pPr>
    <w:rPr>
      <w:rFonts w:ascii="Times New Roman" w:hAnsi="Times New Roman" w:eastAsia="宋体" w:cs="Times New Roman"/>
      <w:color w:val="0000FF"/>
      <w:sz w:val="21"/>
      <w:szCs w:val="21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2021-05-28T15:12:25Z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