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eastAsia" w:ascii="Times New Roman" w:hAnsi="Times New Roman" w:eastAsia="楷体" w:cs="Times New Roman"/>
          <w:b w:val="0"/>
          <w:bCs w:val="0"/>
          <w:color w:val="000000"/>
          <w:sz w:val="21"/>
          <w:szCs w:val="21"/>
          <w:lang w:eastAsia="zh-CN"/>
        </w:rPr>
      </w:pPr>
      <w:r>
        <w:rPr>
          <w:rFonts w:hint="default" w:ascii="Times New Roman" w:hAnsi="Times New Roman" w:eastAsia="楷体" w:cs="Times New Roman"/>
          <w:b w:val="0"/>
          <w:bCs w:val="0"/>
          <w:color w:val="000000"/>
          <w:sz w:val="21"/>
          <w:szCs w:val="21"/>
        </w:rPr>
        <w:t>合同编号：</w:t>
      </w:r>
      <w:bookmarkStart w:id="0" w:name="合同编号"/>
      <w:r>
        <w:rPr>
          <w:sz w:val="21"/>
          <w:szCs w:val="21"/>
        </w:rPr>
        <w:t>0467-2021-E</w:t>
      </w:r>
      <w:bookmarkEnd w:id="0"/>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60288"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河北报业传媒集团印务有限公司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吉洁</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3402" w:type="dxa"/>
            <w:gridSpan w:val="4"/>
            <w:vAlign w:val="center"/>
          </w:tcPr>
          <w:p>
            <w:pPr>
              <w:jc w:val="center"/>
              <w:rPr>
                <w:rFonts w:ascii="Times New Roman" w:hAnsi="Times New Roman" w:eastAsia="宋体" w:cs="Times New Roman"/>
                <w:kern w:val="2"/>
                <w:sz w:val="21"/>
                <w:szCs w:val="21"/>
                <w:lang w:val="en-US" w:eastAsia="zh-CN" w:bidi="ar-SA"/>
              </w:rPr>
            </w:pPr>
            <w:r>
              <w:rPr>
                <w:sz w:val="21"/>
                <w:szCs w:val="21"/>
              </w:rPr>
              <w:t>审核员</w:t>
            </w:r>
          </w:p>
        </w:tc>
        <w:tc>
          <w:tcPr>
            <w:tcW w:w="2179" w:type="dxa"/>
            <w:gridSpan w:val="2"/>
            <w:vAlign w:val="center"/>
          </w:tcPr>
          <w:p>
            <w:pPr>
              <w:jc w:val="center"/>
              <w:rPr>
                <w:rFonts w:hint="eastAsia"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kern w:val="2"/>
                <w:sz w:val="21"/>
                <w:szCs w:val="21"/>
                <w:lang w:val="en-US" w:eastAsia="zh-CN" w:bidi="ar-SA"/>
              </w:rPr>
            </w:pPr>
            <w:r>
              <w:rPr>
                <w:sz w:val="21"/>
                <w:szCs w:val="21"/>
              </w:rPr>
              <w:t>周文廷</w:t>
            </w:r>
          </w:p>
        </w:tc>
        <w:tc>
          <w:tcPr>
            <w:tcW w:w="851"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417"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男</w:t>
            </w:r>
          </w:p>
        </w:tc>
        <w:tc>
          <w:tcPr>
            <w:tcW w:w="3402" w:type="dxa"/>
            <w:gridSpan w:val="4"/>
            <w:vAlign w:val="center"/>
          </w:tcPr>
          <w:p>
            <w:pPr>
              <w:jc w:val="center"/>
              <w:rPr>
                <w:rFonts w:hint="eastAsia" w:ascii="Times New Roman" w:hAnsi="Times New Roman" w:eastAsia="宋体" w:cs="Times New Roman"/>
                <w:kern w:val="2"/>
                <w:sz w:val="21"/>
                <w:szCs w:val="21"/>
                <w:lang w:val="en-US" w:eastAsia="zh-CN" w:bidi="ar-SA"/>
              </w:rPr>
            </w:pPr>
            <w:r>
              <w:rPr>
                <w:sz w:val="21"/>
                <w:szCs w:val="21"/>
              </w:rPr>
              <w:t>专家</w:t>
            </w:r>
          </w:p>
        </w:tc>
        <w:tc>
          <w:tcPr>
            <w:tcW w:w="2179" w:type="dxa"/>
            <w:gridSpan w:val="2"/>
            <w:vAlign w:val="center"/>
          </w:tcPr>
          <w:p>
            <w:pPr>
              <w:jc w:val="center"/>
              <w:rPr>
                <w:rFonts w:hint="eastAsia" w:ascii="Times New Roman" w:hAnsi="Times New Roman" w:eastAsia="宋体" w:cs="Times New Roman"/>
                <w:kern w:val="2"/>
                <w:sz w:val="21"/>
                <w:szCs w:val="21"/>
                <w:lang w:val="en-US" w:eastAsia="zh-CN" w:bidi="ar-SA"/>
              </w:rPr>
            </w:pPr>
            <w:r>
              <w:rPr>
                <w:sz w:val="21"/>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环境管理体系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5" w:name="E勾选Add1"/>
      <w:r>
        <w:rPr>
          <w:rFonts w:hint="eastAsia" w:ascii="宋体" w:hAnsi="宋体"/>
          <w:b/>
          <w:color w:val="000000"/>
          <w:sz w:val="20"/>
          <w:szCs w:val="20"/>
          <w:lang w:val="de-DE"/>
        </w:rPr>
        <w:t>■</w:t>
      </w:r>
      <w:bookmarkEnd w:id="5"/>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B/0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河北报业传媒集团印务有限公司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215" w:type="dxa"/>
            <w:gridSpan w:val="3"/>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hint="eastAsia"/>
                <w:sz w:val="21"/>
                <w:szCs w:val="21"/>
                <w:lang w:eastAsia="zh-CN"/>
              </w:rPr>
              <w:t>石家庄市栾城区装备制造产业园区南车路23号（段同村）</w:t>
            </w:r>
          </w:p>
        </w:tc>
        <w:tc>
          <w:tcPr>
            <w:tcW w:w="818" w:type="dxa"/>
            <w:vMerge w:val="restart"/>
            <w:vAlign w:val="center"/>
          </w:tcPr>
          <w:p>
            <w:pPr>
              <w:spacing w:line="280" w:lineRule="exact"/>
              <w:jc w:val="both"/>
              <w:rPr>
                <w:rFonts w:ascii="Times New Roman" w:hAnsi="Times New Roman" w:eastAsia="宋体" w:cs="Times New Roman"/>
                <w:kern w:val="2"/>
                <w:sz w:val="21"/>
                <w:szCs w:val="21"/>
                <w:lang w:val="en-US" w:eastAsia="zh-CN" w:bidi="ar-SA"/>
              </w:rPr>
            </w:pPr>
            <w:r>
              <w:rPr>
                <w:rFonts w:hint="eastAsia"/>
                <w:sz w:val="21"/>
                <w:szCs w:val="21"/>
              </w:rPr>
              <w:t>邮编</w:t>
            </w:r>
          </w:p>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ascii="宋体" w:hAnsi="宋体"/>
                <w:b/>
                <w:color w:val="000000"/>
                <w:sz w:val="20"/>
                <w:szCs w:val="20"/>
              </w:rPr>
              <w:t>051430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215" w:type="dxa"/>
            <w:gridSpan w:val="3"/>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6" w:name="经营地址"/>
            <w:bookmarkEnd w:id="6"/>
            <w:r>
              <w:rPr>
                <w:rFonts w:hint="eastAsia"/>
                <w:sz w:val="21"/>
                <w:szCs w:val="21"/>
                <w:lang w:eastAsia="zh-CN"/>
              </w:rPr>
              <w:t>石家庄市栾城区装备制造产业园区南车路23号（段同村）</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bookmarkStart w:id="7" w:name="经营邮编"/>
            <w:bookmarkEnd w:id="7"/>
            <w:r>
              <w:rPr>
                <w:rFonts w:ascii="宋体" w:hAnsi="宋体"/>
                <w:b/>
                <w:color w:val="000000"/>
                <w:sz w:val="20"/>
                <w:szCs w:val="20"/>
              </w:rPr>
              <w:t>051430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04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ascii="宋体" w:hAnsi="宋体"/>
                <w:b/>
                <w:color w:val="000000"/>
                <w:sz w:val="20"/>
                <w:szCs w:val="20"/>
              </w:rPr>
              <w:t>胡建军</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70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8" w:name="联系人手机"/>
            <w:bookmarkStart w:id="9" w:name="联系人电话"/>
            <w:r>
              <w:t>17503119578</w:t>
            </w:r>
            <w:bookmarkEnd w:id="8"/>
            <w:bookmarkEnd w:id="9"/>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传真</w:t>
            </w: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0" w:name="联系人传真Add1"/>
            <w:bookmarkEnd w:id="10"/>
            <w:r>
              <w:rPr>
                <w:sz w:val="21"/>
                <w:szCs w:val="21"/>
              </w:rPr>
              <w:t>0311-85978139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049" w:type="dxa"/>
            <w:vAlign w:val="center"/>
          </w:tcPr>
          <w:p>
            <w:pPr>
              <w:spacing w:line="280" w:lineRule="exact"/>
              <w:jc w:val="both"/>
              <w:rPr>
                <w:rFonts w:hint="eastAsia" w:ascii="Times New Roman" w:hAnsi="Times New Roman" w:eastAsia="宋体" w:cs="Times New Roman"/>
                <w:kern w:val="2"/>
                <w:sz w:val="21"/>
                <w:szCs w:val="21"/>
                <w:lang w:val="en-US" w:eastAsia="zh-CN" w:bidi="ar-SA"/>
              </w:rPr>
            </w:pPr>
            <w:r>
              <w:rPr>
                <w:rFonts w:ascii="宋体" w:hAnsi="宋体"/>
                <w:b/>
                <w:color w:val="000000"/>
                <w:sz w:val="20"/>
                <w:szCs w:val="20"/>
              </w:rPr>
              <w:t>曹旭辉</w:t>
            </w:r>
          </w:p>
        </w:tc>
        <w:tc>
          <w:tcPr>
            <w:tcW w:w="146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703"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ascii="宋体" w:hAnsi="宋体"/>
                <w:b/>
                <w:color w:val="000000"/>
                <w:sz w:val="20"/>
                <w:szCs w:val="20"/>
              </w:rPr>
              <w:t>王俊杰</w:t>
            </w:r>
          </w:p>
        </w:tc>
        <w:tc>
          <w:tcPr>
            <w:tcW w:w="818"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459"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11" w:name="联系人邮箱"/>
            <w:r>
              <w:rPr>
                <w:b w:val="0"/>
                <w:bCs w:val="0"/>
                <w:color w:val="0000FF"/>
                <w:sz w:val="21"/>
                <w:szCs w:val="21"/>
              </w:rPr>
              <w:t>5738449@qq.com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2" w:name="审核范围"/>
            <w:r>
              <w:t>出版物专项印刷（限许可范围内）所涉及场所的相关环境管理活动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sz w:val="21"/>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办公室、生产技术部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办公区域、车间</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jc w:val="both"/>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jc w:val="both"/>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tabs>
                <w:tab w:val="left" w:pos="360"/>
              </w:tabs>
              <w:jc w:val="both"/>
              <w:rPr>
                <w:rFonts w:ascii="宋体"/>
                <w:b/>
                <w:color w:val="000000"/>
                <w:sz w:val="20"/>
                <w:szCs w:val="20"/>
              </w:rPr>
            </w:pPr>
            <w:r>
              <w:t>出版物专项印刷（限许可范围内）所涉及场所的相关环境管理活动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管理层、办公室、生产技术部、供销部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lang w:eastAsia="zh-CN"/>
              </w:rPr>
              <w:t>石家庄市栾城区装备制造产业园区南车路23号（段同村）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lang w:eastAsia="zh-CN"/>
              </w:rPr>
              <w:t>石家庄市栾城区装备制造产业园区南车路23号（段同村）</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eastAsia="zh-CN"/>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印刷经营许可证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环境执行标准：</w:t>
            </w:r>
            <w:bookmarkStart w:id="13" w:name="_GoBack"/>
            <w:r>
              <w:rPr>
                <w:rFonts w:hint="eastAsia"/>
                <w:b/>
                <w:sz w:val="20"/>
                <w:lang w:val="en-US" w:eastAsia="zh-CN"/>
              </w:rPr>
              <w:t>DB13/2322-2016、GB18483-2001、GB37822-2019、GB8978-1996、GB12348-2008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b/>
                <w:sz w:val="20"/>
                <w:lang w:val="en-US" w:eastAsia="zh-CN"/>
              </w:rPr>
              <w:t>废气排放、废水排放、噪声排放、固废排放、潜在火灾的发生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2"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50</w:t>
            </w:r>
            <w:r>
              <w:rPr>
                <w:rFonts w:hint="eastAsia" w:ascii="宋体"/>
                <w:color w:val="000000"/>
                <w:sz w:val="20"/>
                <w:szCs w:val="20"/>
              </w:rPr>
              <w:t>人，其中管理人员：</w:t>
            </w:r>
            <w:r>
              <w:rPr>
                <w:rFonts w:hint="eastAsia" w:ascii="宋体"/>
                <w:color w:val="000000"/>
                <w:sz w:val="20"/>
                <w:szCs w:val="20"/>
                <w:lang w:val="en-US" w:eastAsia="zh-CN"/>
              </w:rPr>
              <w:t>6</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办公室/生产技术部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办公区域、车间</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hint="eastAsia" w:ascii="宋体" w:eastAsia="宋体"/>
                <w:b/>
                <w:color w:val="000000"/>
                <w:szCs w:val="21"/>
                <w:lang w:val="en-US" w:eastAsia="zh-CN"/>
              </w:rPr>
            </w:pPr>
            <w:r>
              <w:rPr>
                <w:rFonts w:hint="eastAsia" w:ascii="宋体"/>
                <w:b/>
                <w:color w:val="000000"/>
                <w:szCs w:val="21"/>
                <w:lang w:val="en-US" w:eastAsia="zh-CN"/>
              </w:rPr>
              <w:t>是</w:t>
            </w:r>
          </w:p>
        </w:tc>
      </w:tr>
    </w:tbl>
    <w:p>
      <w:pPr>
        <w:widowControl/>
        <w:jc w:val="left"/>
        <w:rPr>
          <w:rFonts w:hint="eastAsia" w:ascii="宋体" w:hAnsi="宋体"/>
          <w:b/>
          <w:color w:val="000000"/>
          <w:sz w:val="26"/>
          <w:szCs w:val="26"/>
        </w:rPr>
      </w:pPr>
    </w:p>
    <w:p>
      <w:pPr>
        <w:widowControl/>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10" w:firstLineChars="100"/>
        <w:rPr>
          <w:rFonts w:ascii="宋体"/>
          <w:b/>
          <w:color w:val="000000"/>
          <w:sz w:val="20"/>
          <w:szCs w:val="20"/>
        </w:rPr>
      </w:pPr>
      <w:r>
        <w:t>出版物专项印刷（限许可范围内）所涉及场所的相关环境管理活动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9264"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2336" behindDoc="0" locked="0" layoutInCell="1" allowOverlap="1">
            <wp:simplePos x="0" y="0"/>
            <wp:positionH relativeFrom="column">
              <wp:posOffset>1983105</wp:posOffset>
            </wp:positionH>
            <wp:positionV relativeFrom="paragraph">
              <wp:posOffset>234950</wp:posOffset>
            </wp:positionV>
            <wp:extent cx="765810" cy="391160"/>
            <wp:effectExtent l="0" t="0" r="8890" b="254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765810" cy="39116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1312;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63360" behindDoc="0" locked="0" layoutInCell="1" allowOverlap="1">
                  <wp:simplePos x="0" y="0"/>
                  <wp:positionH relativeFrom="column">
                    <wp:posOffset>616585</wp:posOffset>
                  </wp:positionH>
                  <wp:positionV relativeFrom="paragraph">
                    <wp:posOffset>16510</wp:posOffset>
                  </wp:positionV>
                  <wp:extent cx="685800" cy="348615"/>
                  <wp:effectExtent l="0" t="0" r="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685800" cy="348615"/>
                          </a:xfrm>
                          <a:prstGeom prst="rect">
                            <a:avLst/>
                          </a:prstGeom>
                          <a:noFill/>
                          <a:ln>
                            <a:noFill/>
                          </a:ln>
                        </pic:spPr>
                      </pic:pic>
                    </a:graphicData>
                  </a:graphic>
                </wp:anchor>
              </w:drawing>
            </w: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2021年5月21日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08FC6C48"/>
    <w:rsid w:val="17A83F8D"/>
    <w:rsid w:val="2D406657"/>
    <w:rsid w:val="33006401"/>
    <w:rsid w:val="345843FA"/>
    <w:rsid w:val="36C4081A"/>
    <w:rsid w:val="3E330461"/>
    <w:rsid w:val="3EB50EEA"/>
    <w:rsid w:val="43CF42E2"/>
    <w:rsid w:val="461057E1"/>
    <w:rsid w:val="4CBE18C4"/>
    <w:rsid w:val="64982130"/>
    <w:rsid w:val="66890E5C"/>
    <w:rsid w:val="6B1761D4"/>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4</TotalTime>
  <ScaleCrop>false</ScaleCrop>
  <LinksUpToDate>false</LinksUpToDate>
  <CharactersWithSpaces>5986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jijie</cp:lastModifiedBy>
  <dcterms:modified xsi:type="dcterms:W3CDTF">2021-05-30T13:16:23Z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B18AC33AD4A54F018EADC73373A2A924</vt:lpwstr>
  </property>
</Properties>
</file>