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0465-2021-EO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北京德兰伟业机电设备有限公司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Beijing Deleware Machinery Electric Equipment Co., Ltd.</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北京市密云区西田各庄镇卸甲山南区01号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101511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 xml:space="preserve">No. </w:t>
      </w:r>
      <w:r>
        <w:rPr>
          <w:rFonts w:hint="eastAsia"/>
          <w:b/>
          <w:color w:val="000000" w:themeColor="text1"/>
          <w:sz w:val="22"/>
          <w:szCs w:val="22"/>
        </w:rPr>
        <w:t>01</w:t>
      </w:r>
      <w:r>
        <w:rPr>
          <w:rFonts w:hint="eastAsia"/>
          <w:b/>
          <w:color w:val="000000" w:themeColor="text1"/>
          <w:sz w:val="22"/>
          <w:szCs w:val="22"/>
          <w:lang w:val="en-US" w:eastAsia="zh-CN"/>
        </w:rPr>
        <w:t xml:space="preserve"> X</w:t>
      </w:r>
      <w:r>
        <w:rPr>
          <w:rFonts w:hint="eastAsia"/>
          <w:b/>
          <w:color w:val="000000" w:themeColor="text1"/>
          <w:sz w:val="22"/>
          <w:szCs w:val="22"/>
        </w:rPr>
        <w:t xml:space="preserve">iejiashan South </w:t>
      </w:r>
      <w:r>
        <w:rPr>
          <w:rFonts w:hint="eastAsia"/>
          <w:b/>
          <w:color w:val="000000" w:themeColor="text1"/>
          <w:sz w:val="22"/>
          <w:szCs w:val="22"/>
          <w:lang w:val="en-US" w:eastAsia="zh-CN"/>
        </w:rPr>
        <w:t>Area</w:t>
      </w:r>
      <w:r>
        <w:rPr>
          <w:rFonts w:hint="eastAsia"/>
          <w:b/>
          <w:color w:val="000000" w:themeColor="text1"/>
          <w:sz w:val="22"/>
          <w:szCs w:val="22"/>
        </w:rPr>
        <w:t>, Xitiangezhuang Town, Miyun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北京市密云区西田各庄镇卸甲山南区01号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101511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 xml:space="preserve">No. </w:t>
      </w:r>
      <w:bookmarkStart w:id="16" w:name="_GoBack"/>
      <w:bookmarkEnd w:id="16"/>
      <w:r>
        <w:rPr>
          <w:rFonts w:hint="eastAsia"/>
          <w:b/>
          <w:color w:val="000000" w:themeColor="text1"/>
          <w:sz w:val="22"/>
          <w:szCs w:val="22"/>
        </w:rPr>
        <w:t xml:space="preserve">01 </w:t>
      </w:r>
      <w:r>
        <w:rPr>
          <w:rFonts w:hint="eastAsia"/>
          <w:b/>
          <w:color w:val="000000" w:themeColor="text1"/>
          <w:sz w:val="22"/>
          <w:szCs w:val="22"/>
          <w:lang w:val="en-US" w:eastAsia="zh-CN"/>
        </w:rPr>
        <w:t>X</w:t>
      </w:r>
      <w:r>
        <w:rPr>
          <w:rFonts w:hint="eastAsia"/>
          <w:b/>
          <w:color w:val="000000" w:themeColor="text1"/>
          <w:sz w:val="22"/>
          <w:szCs w:val="22"/>
        </w:rPr>
        <w:t xml:space="preserve">iejiashan South </w:t>
      </w:r>
      <w:r>
        <w:rPr>
          <w:rFonts w:hint="eastAsia"/>
          <w:b/>
          <w:color w:val="000000" w:themeColor="text1"/>
          <w:sz w:val="22"/>
          <w:szCs w:val="22"/>
          <w:lang w:val="en-US" w:eastAsia="zh-CN"/>
        </w:rPr>
        <w:t>Area</w:t>
      </w:r>
      <w:r>
        <w:rPr>
          <w:rFonts w:hint="eastAsia"/>
          <w:b/>
          <w:color w:val="000000" w:themeColor="text1"/>
          <w:sz w:val="22"/>
          <w:szCs w:val="22"/>
        </w:rPr>
        <w:t>, Xitiangezhuang Town, Miyun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91110228752616342F</w:t>
      </w:r>
      <w:bookmarkEnd w:id="7"/>
      <w:r>
        <w:rPr>
          <w:rFonts w:hint="eastAsia"/>
          <w:b/>
          <w:color w:val="000000" w:themeColor="text1"/>
          <w:sz w:val="22"/>
          <w:szCs w:val="22"/>
        </w:rPr>
        <w:t>传真：</w:t>
      </w:r>
      <w:bookmarkStart w:id="8" w:name="联系人传真"/>
      <w:r>
        <w:rPr>
          <w:rFonts w:hint="eastAsia"/>
          <w:b/>
          <w:color w:val="000000" w:themeColor="text1"/>
          <w:sz w:val="22"/>
          <w:szCs w:val="22"/>
        </w:rPr>
        <w:t>010-61023918</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15930659127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王海燕</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孙延涛</w:t>
      </w:r>
      <w:bookmarkEnd w:id="11"/>
      <w:r>
        <w:rPr>
          <w:rFonts w:hint="eastAsia"/>
          <w:b/>
          <w:color w:val="000000" w:themeColor="text1"/>
          <w:sz w:val="22"/>
          <w:szCs w:val="22"/>
        </w:rPr>
        <w:t>组织人数：</w:t>
      </w:r>
      <w:bookmarkStart w:id="12" w:name="企业人数"/>
      <w:r>
        <w:rPr>
          <w:b/>
          <w:color w:val="000000" w:themeColor="text1"/>
          <w:sz w:val="22"/>
          <w:szCs w:val="22"/>
        </w:rPr>
        <w:t>18</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E：制冷设备（中央空调）的销售及维修保养所涉及场所的相关环境管理活动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O：制冷设备（中央空调）的销售及维修保养所涉及场所的相关职业健康安全管理活动</w:t>
      </w:r>
      <w:bookmarkEnd w:id="15"/>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EMS（英文：）：Related environmental management activities of places involved in the sales and maintenance of refrigeration equipment (central air conditioning)</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OHSMS（英文：）Related occupational health and safety management activities in places involved in the sales and maintenance of refrigeration equipment (central air conditioning)</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2021.5.25</w:t>
      </w:r>
      <w:r>
        <w:rPr>
          <w:rFonts w:hint="eastAsia"/>
          <w:b/>
          <w:color w:val="000000" w:themeColor="text1"/>
          <w:sz w:val="22"/>
          <w:szCs w:val="22"/>
        </w:rPr>
        <w:t xml:space="preserve">                                  日期：</w:t>
      </w:r>
      <w:r>
        <w:rPr>
          <w:rFonts w:hint="eastAsia"/>
          <w:b/>
          <w:color w:val="000000" w:themeColor="text1"/>
          <w:sz w:val="22"/>
          <w:szCs w:val="22"/>
          <w:lang w:val="en-US" w:eastAsia="zh-CN"/>
        </w:rPr>
        <w:t>2021.5.25</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254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HnegvGAQAAeg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ctqkRw6+FAT8NYTNI7vYaR7cx8PFEzCxw5t+pMkRnny93jxV42RSQpW8+qqfLvgTFKu&#10;WlwvrnIDiofdHkP8qMCyNGk4Uv+yrWL/KUSqhKD3kHRYAKPbjTYmL7DffjDI9oJ6vclfKpK2/Acz&#10;LoEdpG1TOkWKpHHSkmZx3I5n4Vtoj6R751H3A9WUlWc4tSTTn69P6vm/60z68GR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UZbD1gAAAAgBAAAPAAAAAAAAAAEAIAAAACIAAABkcnMvZG93bnJl&#10;di54bWxQSwECFAAUAAAACACHTuJAIed6C8YBAAB6AwAADgAAAAAAAAABACAAAAAlAQAAZHJzL2Uy&#10;b0RvYy54bWxQSwUGAAAAAAYABgBZAQAAX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E498E"/>
    <w:rsid w:val="418A0AD8"/>
    <w:rsid w:val="52F65B53"/>
    <w:rsid w:val="61940F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139</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JackDeng</cp:lastModifiedBy>
  <cp:lastPrinted>2019-05-13T03:13:00Z</cp:lastPrinted>
  <dcterms:modified xsi:type="dcterms:W3CDTF">2021-05-25T03:38:53Z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606E3700836440C6B6CD29A70D87F509</vt:lpwstr>
  </property>
</Properties>
</file>