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960"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004" w:type="dxa"/>
            <w:vAlign w:val="center"/>
          </w:tcPr>
          <w:p>
            <w:pPr>
              <w:spacing w:line="360" w:lineRule="auto"/>
              <w:rPr>
                <w:rFonts w:hint="eastAsia"/>
                <w:color w:val="000000"/>
                <w:szCs w:val="21"/>
                <w:lang w:val="en-US" w:eastAsia="zh-CN"/>
              </w:rPr>
            </w:pPr>
            <w:r>
              <w:rPr>
                <w:rFonts w:hint="eastAsia"/>
                <w:color w:val="000000"/>
                <w:szCs w:val="21"/>
              </w:rPr>
              <w:t>受审核部门：</w:t>
            </w:r>
            <w:r>
              <w:rPr>
                <w:rFonts w:hint="eastAsia"/>
                <w:color w:val="000000"/>
                <w:szCs w:val="21"/>
                <w:lang w:eastAsia="zh-CN"/>
              </w:rPr>
              <w:t>西安纽克利核科技有限公司</w:t>
            </w:r>
            <w:r>
              <w:rPr>
                <w:rFonts w:hint="eastAsia"/>
                <w:color w:val="000000"/>
                <w:szCs w:val="21"/>
                <w:lang w:val="en-US" w:eastAsia="zh-CN"/>
              </w:rPr>
              <w:t xml:space="preserve">      </w:t>
            </w:r>
          </w:p>
          <w:p>
            <w:pPr>
              <w:spacing w:line="360" w:lineRule="auto"/>
              <w:rPr>
                <w:sz w:val="24"/>
                <w:szCs w:val="24"/>
              </w:rPr>
            </w:pPr>
            <w:r>
              <w:rPr>
                <w:rFonts w:hint="eastAsia"/>
                <w:color w:val="000000"/>
                <w:szCs w:val="21"/>
              </w:rPr>
              <w:t>主管领导/陪同人员</w:t>
            </w:r>
            <w:r>
              <w:rPr>
                <w:rFonts w:hint="eastAsia"/>
                <w:color w:val="000000"/>
                <w:szCs w:val="21"/>
                <w:lang w:val="en-US" w:eastAsia="zh-CN"/>
              </w:rPr>
              <w:t xml:space="preserve">, 总经理 郑瑄  </w:t>
            </w:r>
            <w:r>
              <w:rPr>
                <w:rFonts w:hint="eastAsia"/>
                <w:color w:val="000000"/>
                <w:szCs w:val="21"/>
              </w:rPr>
              <w:t>陪同人员</w:t>
            </w:r>
            <w:r>
              <w:rPr>
                <w:rFonts w:hint="eastAsia"/>
                <w:color w:val="000000"/>
                <w:szCs w:val="21"/>
                <w:lang w:eastAsia="zh-CN"/>
              </w:rPr>
              <w:t>：经营部/管理者代表</w:t>
            </w:r>
            <w:r>
              <w:rPr>
                <w:rFonts w:hint="eastAsia"/>
                <w:color w:val="000000"/>
                <w:szCs w:val="21"/>
                <w:lang w:val="en-US" w:eastAsia="zh-CN"/>
              </w:rPr>
              <w:t xml:space="preserve">  </w:t>
            </w:r>
            <w:r>
              <w:rPr>
                <w:rFonts w:hint="eastAsia"/>
                <w:color w:val="000000"/>
                <w:szCs w:val="21"/>
                <w:lang w:eastAsia="zh-CN"/>
              </w:rPr>
              <w:t>汪少杰</w:t>
            </w:r>
            <w:r>
              <w:rPr>
                <w:rFonts w:hint="eastAsia"/>
                <w:color w:val="000000"/>
                <w:szCs w:val="21"/>
                <w:lang w:val="en-US" w:eastAsia="zh-CN"/>
              </w:rPr>
              <w:t xml:space="preserve">  </w:t>
            </w:r>
          </w:p>
        </w:tc>
        <w:tc>
          <w:tcPr>
            <w:tcW w:w="1585"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spacing w:before="120" w:line="360" w:lineRule="auto"/>
              <w:rPr>
                <w:rFonts w:hint="default" w:eastAsia="宋体"/>
                <w:lang w:val="en-US" w:eastAsia="zh-CN"/>
              </w:rPr>
            </w:pPr>
            <w:r>
              <w:rPr>
                <w:rFonts w:hint="eastAsia"/>
                <w:color w:val="000000"/>
                <w:szCs w:val="21"/>
                <w:lang w:val="en-US" w:eastAsia="zh-CN"/>
              </w:rPr>
              <w:t>审核员：郭力   审核时间：2021年5月22日</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pPr>
          </w:p>
        </w:tc>
        <w:tc>
          <w:tcPr>
            <w:tcW w:w="960" w:type="dxa"/>
            <w:vMerge w:val="continue"/>
            <w:vAlign w:val="center"/>
          </w:tcPr>
          <w:p>
            <w:pPr>
              <w:spacing w:line="360" w:lineRule="auto"/>
            </w:pPr>
          </w:p>
        </w:tc>
        <w:tc>
          <w:tcPr>
            <w:tcW w:w="10004" w:type="dxa"/>
            <w:vAlign w:val="center"/>
          </w:tcPr>
          <w:p>
            <w:pPr>
              <w:spacing w:before="120" w:line="360" w:lineRule="auto"/>
              <w:rPr>
                <w:rFonts w:hint="default"/>
                <w:color w:val="000000"/>
                <w:szCs w:val="21"/>
                <w:lang w:val="en-US" w:eastAsia="zh-CN"/>
              </w:rPr>
            </w:pPr>
            <w:r>
              <w:rPr>
                <w:rFonts w:hint="eastAsia"/>
                <w:color w:val="000000"/>
                <w:szCs w:val="21"/>
                <w:lang w:val="en-US" w:eastAsia="zh-CN"/>
              </w:rPr>
              <w:t>审核条款：■ GB/T 19001:2016 idt ISO 9001:2015标准   不适用条款:无</w:t>
            </w:r>
          </w:p>
          <w:p>
            <w:pPr>
              <w:spacing w:before="120" w:line="360" w:lineRule="auto"/>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hint="eastAsia"/>
                <w:szCs w:val="21"/>
              </w:rPr>
            </w:pPr>
            <w:r>
              <w:rPr>
                <w:rFonts w:hint="eastAsia"/>
                <w:szCs w:val="21"/>
              </w:rPr>
              <w:t>企业简介</w:t>
            </w: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r>
              <w:rPr>
                <w:rFonts w:hint="eastAsia"/>
                <w:szCs w:val="21"/>
              </w:rPr>
              <w:t>组织机构及场所、资质</w:t>
            </w:r>
          </w:p>
          <w:p>
            <w:pPr>
              <w:pStyle w:val="2"/>
              <w:spacing w:line="360" w:lineRule="auto"/>
              <w:rPr>
                <w:rFonts w:hint="eastAsia"/>
                <w:szCs w:val="21"/>
              </w:rPr>
            </w:pPr>
          </w:p>
          <w:p>
            <w:pPr>
              <w:pStyle w:val="2"/>
              <w:spacing w:line="360" w:lineRule="auto"/>
              <w:rPr>
                <w:rFonts w:hint="eastAsia"/>
                <w:szCs w:val="21"/>
              </w:rPr>
            </w:pPr>
          </w:p>
          <w:p>
            <w:pPr>
              <w:pStyle w:val="2"/>
              <w:spacing w:line="360" w:lineRule="auto"/>
              <w:rPr>
                <w:rFonts w:hint="eastAsia"/>
                <w:szCs w:val="21"/>
              </w:rPr>
            </w:pPr>
          </w:p>
          <w:p>
            <w:pPr>
              <w:pStyle w:val="2"/>
              <w:spacing w:line="360" w:lineRule="auto"/>
              <w:rPr>
                <w:rFonts w:hint="eastAsia"/>
                <w:szCs w:val="21"/>
              </w:rPr>
            </w:pPr>
          </w:p>
          <w:p>
            <w:pPr>
              <w:pStyle w:val="2"/>
              <w:spacing w:line="360" w:lineRule="auto"/>
              <w:rPr>
                <w:rFonts w:hint="eastAsia"/>
                <w:szCs w:val="21"/>
              </w:rPr>
            </w:pPr>
          </w:p>
          <w:p>
            <w:pPr>
              <w:pStyle w:val="2"/>
              <w:spacing w:line="360" w:lineRule="auto"/>
              <w:rPr>
                <w:rFonts w:hint="eastAsia"/>
                <w:szCs w:val="21"/>
              </w:rPr>
            </w:pPr>
          </w:p>
          <w:p>
            <w:pPr>
              <w:pStyle w:val="2"/>
              <w:spacing w:line="360" w:lineRule="auto"/>
              <w:rPr>
                <w:rFonts w:hint="eastAsia"/>
                <w:szCs w:val="21"/>
              </w:rPr>
            </w:pPr>
          </w:p>
          <w:p>
            <w:pPr>
              <w:spacing w:line="360" w:lineRule="auto"/>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pPr>
              <w:spacing w:line="360" w:lineRule="auto"/>
            </w:pPr>
          </w:p>
        </w:tc>
        <w:tc>
          <w:tcPr>
            <w:tcW w:w="960" w:type="dxa"/>
          </w:tcPr>
          <w:p>
            <w:pPr>
              <w:spacing w:line="360" w:lineRule="auto"/>
            </w:pPr>
          </w:p>
        </w:tc>
        <w:tc>
          <w:tcPr>
            <w:tcW w:w="10004" w:type="dxa"/>
          </w:tcPr>
          <w:p>
            <w:pPr>
              <w:spacing w:line="360" w:lineRule="auto"/>
              <w:ind w:firstLine="420" w:firstLineChars="200"/>
              <w:rPr>
                <w:rFonts w:hint="eastAsia"/>
                <w:szCs w:val="21"/>
                <w:lang w:eastAsia="zh-CN"/>
              </w:rPr>
            </w:pPr>
            <w:r>
              <w:rPr>
                <w:rFonts w:hint="eastAsia"/>
                <w:szCs w:val="21"/>
                <w:lang w:eastAsia="zh-CN"/>
              </w:rPr>
              <w:t>西安纽克利核科技有限公司</w:t>
            </w:r>
            <w:r>
              <w:rPr>
                <w:rFonts w:hint="eastAsia"/>
                <w:szCs w:val="21"/>
                <w:lang w:val="en-US" w:eastAsia="zh-CN"/>
              </w:rPr>
              <w:t>成立于2017年</w:t>
            </w:r>
            <w:r>
              <w:rPr>
                <w:rFonts w:hint="eastAsia"/>
                <w:szCs w:val="21"/>
                <w:lang w:eastAsia="zh-CN"/>
              </w:rPr>
              <w:t>，是一家专业从事核与辐射监测类仪器应用软件开发、销售及服务于一体的新型高技术企业。公司拥有一流的软件产品设计和开发团队，专注于研发具有自主核心技术和知识产权的软件产品，为10余家客户提供先进、实用、</w:t>
            </w:r>
            <w:bookmarkStart w:id="0" w:name="_GoBack"/>
            <w:bookmarkEnd w:id="0"/>
            <w:r>
              <w:rPr>
                <w:rFonts w:hint="eastAsia"/>
                <w:szCs w:val="21"/>
                <w:lang w:eastAsia="zh-CN"/>
              </w:rPr>
              <w:t>可靠的信息化技术服务。</w:t>
            </w:r>
          </w:p>
          <w:p>
            <w:pPr>
              <w:spacing w:line="360" w:lineRule="auto"/>
              <w:ind w:firstLine="420" w:firstLineChars="200"/>
              <w:rPr>
                <w:rFonts w:hint="default"/>
                <w:szCs w:val="21"/>
                <w:lang w:val="en-US" w:eastAsia="zh-CN"/>
              </w:rPr>
            </w:pPr>
            <w:r>
              <w:rPr>
                <w:rFonts w:hint="eastAsia"/>
                <w:szCs w:val="21"/>
                <w:lang w:val="en-US" w:eastAsia="zh-CN"/>
              </w:rPr>
              <w:t>提供</w:t>
            </w:r>
            <w:r>
              <w:rPr>
                <w:rFonts w:hint="eastAsia"/>
                <w:szCs w:val="21"/>
                <w:lang w:eastAsia="zh-CN"/>
              </w:rPr>
              <w:t>法人营业执照（三证合一），公司成立于</w:t>
            </w:r>
            <w:r>
              <w:rPr>
                <w:rFonts w:hint="eastAsia"/>
                <w:szCs w:val="21"/>
                <w:lang w:val="en-US" w:eastAsia="zh-CN"/>
              </w:rPr>
              <w:t>2017-09-07</w:t>
            </w:r>
            <w:r>
              <w:rPr>
                <w:rFonts w:hint="eastAsia"/>
                <w:szCs w:val="21"/>
                <w:lang w:eastAsia="zh-CN"/>
              </w:rPr>
              <w:t>，营业执照社会统一信用代码：91610113MA6U7PRL5C,</w:t>
            </w:r>
            <w:r>
              <w:rPr>
                <w:rFonts w:hint="eastAsia"/>
                <w:szCs w:val="21"/>
                <w:lang w:val="en-US" w:eastAsia="zh-CN"/>
              </w:rPr>
              <w:t>法人</w:t>
            </w:r>
            <w:r>
              <w:rPr>
                <w:rFonts w:hint="eastAsia"/>
                <w:szCs w:val="21"/>
                <w:lang w:eastAsia="zh-CN"/>
              </w:rPr>
              <w:t>代表人 汪少杰</w:t>
            </w:r>
            <w:r>
              <w:rPr>
                <w:rFonts w:hint="eastAsia"/>
                <w:szCs w:val="21"/>
                <w:lang w:val="en-US" w:eastAsia="zh-CN"/>
              </w:rPr>
              <w:t>；注册资本：300万元。经营期限：长期。</w:t>
            </w:r>
          </w:p>
          <w:p>
            <w:pPr>
              <w:spacing w:line="360" w:lineRule="auto"/>
              <w:ind w:firstLine="420" w:firstLineChars="200"/>
              <w:rPr>
                <w:rFonts w:hint="eastAsia"/>
                <w:szCs w:val="21"/>
                <w:lang w:eastAsia="zh-CN"/>
              </w:rPr>
            </w:pPr>
            <w:r>
              <w:rPr>
                <w:rFonts w:hint="eastAsia"/>
                <w:szCs w:val="21"/>
                <w:lang w:val="en-US" w:eastAsia="zh-CN"/>
              </w:rPr>
              <w:t>注册地址：</w:t>
            </w:r>
            <w:r>
              <w:rPr>
                <w:rFonts w:hint="eastAsia"/>
                <w:szCs w:val="21"/>
                <w:lang w:eastAsia="zh-CN"/>
              </w:rPr>
              <w:t>陕西省西安市雁塔区雁翔路99号西安交大科技园博源科技广场C座414室。</w:t>
            </w:r>
          </w:p>
          <w:p>
            <w:pPr>
              <w:spacing w:line="360" w:lineRule="auto"/>
              <w:ind w:firstLine="420" w:firstLineChars="200"/>
              <w:rPr>
                <w:rFonts w:hint="eastAsia"/>
                <w:szCs w:val="21"/>
                <w:lang w:eastAsia="zh-CN"/>
              </w:rPr>
            </w:pPr>
            <w:r>
              <w:rPr>
                <w:rFonts w:hint="eastAsia"/>
                <w:szCs w:val="21"/>
                <w:lang w:val="en-US" w:eastAsia="zh-CN"/>
              </w:rPr>
              <w:t>经营</w:t>
            </w:r>
            <w:r>
              <w:rPr>
                <w:rFonts w:hint="eastAsia"/>
                <w:szCs w:val="21"/>
                <w:lang w:eastAsia="zh-CN"/>
              </w:rPr>
              <w:t>范围：核技术应用、辐射防护、核工程相关领域的技术开发、技术转让、技术咨询、技术服务；传感器、仪器仪表研发和销售；计算机软件开发及软硬件集成系统研发和销售；集成电路芯片、半导体器件、电子元器件的研发、设计及技术咨询；仪器仪表、传感器、电脑及配件、实验室耗材、通讯器材、金属材料、化工产品（不含危险品）、电讯器材、电子产品、电子系统设备、芯片、电子元器件、机械设备、五金交电销售；货物进出口及技术进出口业务。（依法须经批准的项目，经相关部门批准后方可开展经营活动）。</w:t>
            </w:r>
          </w:p>
          <w:p>
            <w:pPr>
              <w:spacing w:line="360" w:lineRule="auto"/>
              <w:ind w:firstLine="420" w:firstLineChars="200"/>
              <w:rPr>
                <w:rFonts w:hint="default"/>
                <w:lang w:val="en-US" w:eastAsia="zh-CN"/>
              </w:rPr>
            </w:pPr>
            <w:r>
              <w:rPr>
                <w:rFonts w:hint="eastAsia"/>
                <w:szCs w:val="21"/>
                <w:lang w:val="en-US" w:eastAsia="zh-CN"/>
              </w:rPr>
              <w:t>质量体系认证范围：</w:t>
            </w:r>
            <w:r>
              <w:rPr>
                <w:rFonts w:hint="eastAsia"/>
                <w:szCs w:val="21"/>
                <w:lang w:eastAsia="zh-CN"/>
              </w:rPr>
              <w:t>核与辐射监测类仪器、应用软件研发、销售和技术服务。</w:t>
            </w:r>
            <w:r>
              <w:rPr>
                <w:rFonts w:hint="eastAsia"/>
                <w:szCs w:val="21"/>
                <w:lang w:val="en-US" w:eastAsia="zh-CN"/>
              </w:rPr>
              <w:t>经营范围覆盖认证范围，资质满足要求。</w:t>
            </w:r>
          </w:p>
          <w:p>
            <w:pPr>
              <w:spacing w:line="360" w:lineRule="auto"/>
              <w:ind w:firstLine="420" w:firstLineChars="200"/>
              <w:rPr>
                <w:rFonts w:hint="eastAsia" w:ascii="宋体" w:hAnsi="宋体"/>
                <w:szCs w:val="21"/>
              </w:rPr>
            </w:pPr>
            <w:r>
              <w:rPr>
                <w:rFonts w:hint="eastAsia" w:ascii="宋体" w:hAnsi="宋体"/>
                <w:szCs w:val="21"/>
              </w:rPr>
              <w:t>与负责人沟通核实：</w:t>
            </w:r>
            <w:r>
              <w:rPr>
                <w:rFonts w:hint="eastAsia"/>
                <w:szCs w:val="21"/>
                <w:lang w:eastAsia="zh-CN"/>
              </w:rPr>
              <w:t>陕西省西安市雁塔区雁翔路99号西安交大科技园博源科技广场C座414室</w:t>
            </w:r>
            <w:r>
              <w:rPr>
                <w:rFonts w:hint="eastAsia" w:ascii="宋体" w:hAnsi="宋体"/>
                <w:szCs w:val="21"/>
              </w:rPr>
              <w:t>，与任务书一致。</w:t>
            </w:r>
          </w:p>
          <w:p>
            <w:pPr>
              <w:spacing w:line="360" w:lineRule="auto"/>
              <w:ind w:firstLine="420" w:firstLineChars="200"/>
              <w:rPr>
                <w:rFonts w:hint="eastAsia" w:ascii="宋体" w:hAnsi="宋体"/>
                <w:szCs w:val="21"/>
              </w:rPr>
            </w:pPr>
            <w:r>
              <w:rPr>
                <w:rFonts w:hint="eastAsia" w:ascii="宋体" w:hAnsi="宋体"/>
                <w:szCs w:val="21"/>
              </w:rPr>
              <w:t>经确认认证范围为：</w:t>
            </w:r>
            <w:r>
              <w:rPr>
                <w:rFonts w:hint="eastAsia"/>
                <w:szCs w:val="21"/>
                <w:lang w:eastAsia="zh-CN"/>
              </w:rPr>
              <w:t>核与辐射监测类仪器、应用软件研发、销售和技术服务</w:t>
            </w:r>
            <w:r>
              <w:rPr>
                <w:rFonts w:hint="eastAsia" w:ascii="宋体" w:hAnsi="宋体"/>
                <w:szCs w:val="21"/>
                <w:lang w:val="en-US" w:eastAsia="zh-CN"/>
              </w:rPr>
              <w:t>，</w:t>
            </w:r>
            <w:r>
              <w:rPr>
                <w:rFonts w:hint="eastAsia" w:ascii="宋体" w:hAnsi="宋体"/>
                <w:szCs w:val="21"/>
              </w:rPr>
              <w:t>与任务书一致。</w:t>
            </w:r>
          </w:p>
          <w:p>
            <w:pPr>
              <w:spacing w:line="360" w:lineRule="auto"/>
              <w:ind w:firstLine="420" w:firstLineChars="200"/>
              <w:rPr>
                <w:rFonts w:hint="eastAsia"/>
                <w:szCs w:val="21"/>
              </w:rPr>
            </w:pPr>
            <w:r>
              <w:rPr>
                <w:rFonts w:hint="eastAsia" w:ascii="宋体" w:hAnsi="宋体"/>
                <w:szCs w:val="21"/>
              </w:rPr>
              <w:t>经实该公司目前成立</w:t>
            </w:r>
            <w:r>
              <w:rPr>
                <w:rFonts w:hint="eastAsia"/>
                <w:szCs w:val="21"/>
              </w:rPr>
              <w:t>了</w:t>
            </w:r>
            <w:r>
              <w:rPr>
                <w:rFonts w:hint="eastAsia"/>
                <w:szCs w:val="21"/>
                <w:lang w:val="en-US" w:eastAsia="zh-CN"/>
              </w:rPr>
              <w:t>3个</w:t>
            </w:r>
            <w:r>
              <w:rPr>
                <w:rFonts w:hint="eastAsia"/>
                <w:szCs w:val="21"/>
              </w:rPr>
              <w:t>部门：行政部、技术部、市场部</w:t>
            </w:r>
            <w:r>
              <w:rPr>
                <w:rFonts w:hint="eastAsia"/>
                <w:szCs w:val="21"/>
                <w:lang w:val="en-US" w:eastAsia="zh-CN"/>
              </w:rPr>
              <w:t>。</w:t>
            </w:r>
          </w:p>
          <w:p>
            <w:pPr>
              <w:spacing w:line="360" w:lineRule="auto"/>
              <w:ind w:firstLine="420" w:firstLineChars="200"/>
              <w:rPr>
                <w:rFonts w:hint="eastAsia" w:ascii="宋体" w:hAnsi="宋体"/>
                <w:szCs w:val="21"/>
              </w:rPr>
            </w:pPr>
            <w:r>
              <w:rPr>
                <w:rFonts w:hint="eastAsia"/>
                <w:szCs w:val="21"/>
              </w:rPr>
              <w:t>抽查</w:t>
            </w:r>
            <w:r>
              <w:rPr>
                <w:rFonts w:hint="eastAsia"/>
                <w:szCs w:val="21"/>
                <w:lang w:eastAsia="zh-CN"/>
              </w:rPr>
              <w:t>《</w:t>
            </w:r>
            <w:r>
              <w:rPr>
                <w:rFonts w:hint="eastAsia"/>
                <w:szCs w:val="21"/>
                <w:lang w:val="en-US" w:eastAsia="zh-CN"/>
              </w:rPr>
              <w:t>质量手册</w:t>
            </w:r>
            <w:r>
              <w:rPr>
                <w:rFonts w:hint="eastAsia"/>
                <w:szCs w:val="21"/>
                <w:lang w:eastAsia="zh-CN"/>
              </w:rPr>
              <w:t>》</w:t>
            </w:r>
            <w:r>
              <w:rPr>
                <w:rFonts w:hint="eastAsia"/>
                <w:szCs w:val="21"/>
              </w:rPr>
              <w:t>：组织机构图、职能分配表、职责描述，基本保持一致。</w:t>
            </w:r>
          </w:p>
          <w:p>
            <w:pPr>
              <w:spacing w:line="360" w:lineRule="auto"/>
              <w:ind w:firstLine="420" w:firstLineChars="200"/>
              <w:rPr>
                <w:rFonts w:hint="default"/>
                <w:szCs w:val="21"/>
                <w:lang w:val="en-US" w:eastAsia="zh-CN"/>
              </w:rPr>
            </w:pPr>
            <w:r>
              <w:rPr>
                <w:rFonts w:hint="eastAsia"/>
                <w:szCs w:val="21"/>
              </w:rPr>
              <w:t>经查看，公司经营地址位于陕西省西安市雁塔区雁翔路99号西安交大科技园博源科技广场C座414室</w:t>
            </w:r>
            <w:r>
              <w:rPr>
                <w:rFonts w:hint="eastAsia"/>
                <w:szCs w:val="21"/>
                <w:lang w:val="en-US" w:eastAsia="zh-CN"/>
              </w:rPr>
              <w:t>。</w:t>
            </w:r>
          </w:p>
          <w:p>
            <w:pPr>
              <w:spacing w:line="360" w:lineRule="auto"/>
              <w:ind w:firstLine="420" w:firstLineChars="200"/>
              <w:rPr>
                <w:rFonts w:hint="default" w:eastAsia="宋体"/>
                <w:lang w:val="en-US" w:eastAsia="zh-CN"/>
              </w:rPr>
            </w:pPr>
            <w:r>
              <w:rPr>
                <w:rFonts w:hint="eastAsia" w:ascii="宋体"/>
                <w:szCs w:val="22"/>
                <w:lang w:val="en-US" w:eastAsia="zh-CN"/>
              </w:rPr>
              <w:t>公司办公面积80平米，配置了办公电脑7台；打印/复印机2台；办公桌椅、文件柜等。公司设备配置，设备3台/套（主要为服务所用的笔记本电脑）</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360" w:lineRule="auto"/>
              <w:rPr>
                <w:szCs w:val="21"/>
                <w:u w:val="none"/>
              </w:rPr>
            </w:pPr>
            <w:r>
              <w:rPr>
                <w:rFonts w:hint="eastAsia"/>
                <w:szCs w:val="21"/>
                <w:u w:val="none"/>
              </w:rPr>
              <w:t>员工人数</w:t>
            </w:r>
          </w:p>
          <w:p>
            <w:pPr>
              <w:spacing w:line="360" w:lineRule="auto"/>
              <w:rPr>
                <w:szCs w:val="21"/>
              </w:rPr>
            </w:pPr>
            <w:r>
              <w:rPr>
                <w:rFonts w:hint="eastAsia"/>
                <w:szCs w:val="21"/>
              </w:rPr>
              <w:t>关键岗位持证上岗人员</w:t>
            </w:r>
          </w:p>
          <w:p>
            <w:pPr>
              <w:spacing w:line="360" w:lineRule="auto"/>
              <w:rPr>
                <w:rFonts w:hint="eastAsia"/>
                <w:szCs w:val="21"/>
              </w:rPr>
            </w:pPr>
            <w:r>
              <w:rPr>
                <w:rFonts w:hint="eastAsia"/>
                <w:szCs w:val="21"/>
              </w:rPr>
              <w:t>特殊工种人员</w:t>
            </w:r>
          </w:p>
        </w:tc>
        <w:tc>
          <w:tcPr>
            <w:tcW w:w="960" w:type="dxa"/>
          </w:tcPr>
          <w:p>
            <w:pPr>
              <w:spacing w:line="360" w:lineRule="auto"/>
            </w:pPr>
          </w:p>
        </w:tc>
        <w:tc>
          <w:tcPr>
            <w:tcW w:w="10004" w:type="dxa"/>
          </w:tcPr>
          <w:p>
            <w:pPr>
              <w:spacing w:line="360" w:lineRule="auto"/>
              <w:rPr>
                <w:szCs w:val="21"/>
              </w:rPr>
            </w:pPr>
            <w:r>
              <w:rPr>
                <w:rFonts w:hint="eastAsia"/>
                <w:szCs w:val="21"/>
                <w:lang w:val="en-US" w:eastAsia="zh-CN"/>
              </w:rPr>
              <w:t>管理/技术/经营人员：16</w:t>
            </w:r>
            <w:r>
              <w:rPr>
                <w:rFonts w:hint="eastAsia"/>
                <w:szCs w:val="21"/>
              </w:rPr>
              <w:t>人</w:t>
            </w:r>
          </w:p>
          <w:p>
            <w:pPr>
              <w:spacing w:line="360" w:lineRule="auto"/>
              <w:rPr>
                <w:rFonts w:hint="eastAsia"/>
                <w:szCs w:val="21"/>
                <w:lang w:val="en-US" w:eastAsia="zh-CN"/>
              </w:rPr>
            </w:pPr>
            <w:r>
              <w:rPr>
                <w:rFonts w:hint="eastAsia"/>
                <w:szCs w:val="21"/>
                <w:lang w:val="en-US" w:eastAsia="zh-CN"/>
              </w:rPr>
              <w:t>技术人员</w:t>
            </w:r>
          </w:p>
          <w:p>
            <w:pPr>
              <w:spacing w:line="360" w:lineRule="auto"/>
              <w:rPr>
                <w:rFonts w:hint="eastAsia"/>
                <w:szCs w:val="21"/>
              </w:rPr>
            </w:pPr>
          </w:p>
          <w:p>
            <w:pPr>
              <w:spacing w:line="360" w:lineRule="auto"/>
              <w:rPr>
                <w:rFonts w:hint="eastAsia" w:ascii="宋体" w:hAnsi="宋体"/>
                <w:szCs w:val="21"/>
                <w:lang w:val="en-US" w:eastAsia="zh-CN"/>
              </w:rPr>
            </w:pPr>
            <w:r>
              <w:rPr>
                <w:rFonts w:hint="eastAsia"/>
                <w:szCs w:val="21"/>
              </w:rPr>
              <w:t>无</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360" w:lineRule="auto"/>
              <w:rPr>
                <w:szCs w:val="21"/>
              </w:rPr>
            </w:pPr>
            <w:r>
              <w:rPr>
                <w:rFonts w:hint="eastAsia"/>
                <w:szCs w:val="21"/>
              </w:rPr>
              <w:t>管理体系运行时间（3 个月以上）</w:t>
            </w:r>
          </w:p>
          <w:p>
            <w:pPr>
              <w:spacing w:line="360" w:lineRule="auto"/>
              <w:rPr>
                <w:szCs w:val="21"/>
              </w:rPr>
            </w:pPr>
            <w:r>
              <w:rPr>
                <w:rFonts w:hint="eastAsia"/>
                <w:szCs w:val="21"/>
              </w:rPr>
              <w:t>确认组织实际与管理体系文件化信息描述的一致性</w:t>
            </w:r>
          </w:p>
          <w:p>
            <w:pPr>
              <w:spacing w:line="360" w:lineRule="auto"/>
            </w:pPr>
            <w:r>
              <w:rPr>
                <w:rFonts w:hint="eastAsia"/>
                <w:szCs w:val="21"/>
              </w:rPr>
              <w:t>（如部门设置和负责人，生产和服务等过程）</w:t>
            </w:r>
          </w:p>
        </w:tc>
        <w:tc>
          <w:tcPr>
            <w:tcW w:w="960" w:type="dxa"/>
          </w:tcPr>
          <w:p>
            <w:pPr>
              <w:spacing w:line="360" w:lineRule="auto"/>
            </w:pPr>
          </w:p>
        </w:tc>
        <w:tc>
          <w:tcPr>
            <w:tcW w:w="10004" w:type="dxa"/>
          </w:tcPr>
          <w:p>
            <w:pPr>
              <w:spacing w:line="360" w:lineRule="auto"/>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rPr>
              <w:t>组织实际与管理体系文件化信息描述基本一致。有</w:t>
            </w:r>
            <w:r>
              <w:rPr>
                <w:rFonts w:hint="eastAsia"/>
                <w:szCs w:val="21"/>
              </w:rPr>
              <w:t>行政部、技术部、市场部</w:t>
            </w:r>
            <w:r>
              <w:rPr>
                <w:rFonts w:hint="eastAsia" w:ascii="宋体" w:hAnsi="宋体"/>
                <w:szCs w:val="21"/>
              </w:rPr>
              <w:t>。</w:t>
            </w:r>
          </w:p>
          <w:p>
            <w:pPr>
              <w:spacing w:line="360" w:lineRule="auto"/>
              <w:rPr>
                <w:rFonts w:ascii="宋体" w:hAnsi="宋体"/>
                <w:szCs w:val="21"/>
              </w:rPr>
            </w:pPr>
            <w:r>
              <w:rPr>
                <w:rFonts w:hint="eastAsia" w:ascii="宋体" w:hAnsi="宋体"/>
                <w:szCs w:val="21"/>
              </w:rPr>
              <w:t>产品流程见《工艺流程》</w:t>
            </w:r>
          </w:p>
          <w:p>
            <w:pPr>
              <w:spacing w:line="360" w:lineRule="auto"/>
              <w:rPr>
                <w:rFonts w:hint="eastAsia" w:ascii="宋体" w:hAnsi="宋体"/>
                <w:szCs w:val="21"/>
                <w:lang w:val="en-US" w:eastAsia="zh-CN"/>
              </w:rPr>
            </w:pPr>
            <w:r>
              <w:rPr>
                <w:rFonts w:hint="eastAsia" w:ascii="宋体" w:hAnsi="宋体"/>
                <w:szCs w:val="21"/>
                <w:lang w:val="en-US" w:eastAsia="zh-CN"/>
              </w:rPr>
              <w:t xml:space="preserve">   </w:t>
            </w:r>
          </w:p>
          <w:p>
            <w:pPr>
              <w:spacing w:line="360" w:lineRule="auto"/>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360" w:lineRule="auto"/>
              <w:rPr>
                <w:rFonts w:ascii="宋体" w:hAnsi="宋体"/>
                <w:szCs w:val="21"/>
              </w:rPr>
            </w:pPr>
            <w:r>
              <w:rPr>
                <w:rFonts w:hint="eastAsia" w:ascii="宋体" w:hAnsi="宋体"/>
                <w:szCs w:val="21"/>
              </w:rPr>
              <w:t>相关法规</w:t>
            </w:r>
          </w:p>
          <w:p>
            <w:pPr>
              <w:widowControl/>
              <w:spacing w:line="360" w:lineRule="auto"/>
              <w:rPr>
                <w:rFonts w:ascii="宋体" w:hAnsi="宋体"/>
                <w:szCs w:val="21"/>
              </w:rPr>
            </w:pPr>
          </w:p>
          <w:p>
            <w:pPr>
              <w:widowControl/>
              <w:spacing w:line="360" w:lineRule="auto"/>
              <w:rPr>
                <w:rFonts w:ascii="宋体" w:hAnsi="宋体"/>
                <w:szCs w:val="21"/>
              </w:rPr>
            </w:pPr>
            <w:r>
              <w:rPr>
                <w:rFonts w:hint="eastAsia" w:ascii="宋体" w:hAnsi="宋体"/>
                <w:szCs w:val="21"/>
              </w:rPr>
              <w:t>执行的产品标准（QMS）</w:t>
            </w:r>
          </w:p>
          <w:p>
            <w:pPr>
              <w:widowControl/>
              <w:spacing w:line="360" w:lineRule="auto"/>
              <w:rPr>
                <w:rFonts w:ascii="宋体" w:hAnsi="宋体"/>
                <w:szCs w:val="21"/>
              </w:rPr>
            </w:pPr>
          </w:p>
          <w:p>
            <w:pPr>
              <w:spacing w:line="360" w:lineRule="auto"/>
              <w:rPr>
                <w:rFonts w:hint="eastAsia" w:ascii="宋体" w:hAnsi="宋体"/>
                <w:szCs w:val="21"/>
              </w:rPr>
            </w:pPr>
          </w:p>
          <w:p>
            <w:pPr>
              <w:spacing w:line="360" w:lineRule="auto"/>
            </w:pPr>
            <w:r>
              <w:rPr>
                <w:rFonts w:hint="eastAsia" w:ascii="宋体" w:hAnsi="宋体"/>
                <w:szCs w:val="21"/>
              </w:rPr>
              <w:t>产品质量监督抽查情况（QMS）</w:t>
            </w:r>
          </w:p>
        </w:tc>
        <w:tc>
          <w:tcPr>
            <w:tcW w:w="960" w:type="dxa"/>
          </w:tcPr>
          <w:p>
            <w:pPr>
              <w:widowControl/>
              <w:spacing w:line="360" w:lineRule="auto"/>
              <w:rPr>
                <w:rFonts w:hint="eastAsia" w:ascii="宋体" w:hAnsi="宋体"/>
                <w:szCs w:val="21"/>
              </w:rPr>
            </w:pPr>
          </w:p>
        </w:tc>
        <w:tc>
          <w:tcPr>
            <w:tcW w:w="10004" w:type="dxa"/>
          </w:tcPr>
          <w:p>
            <w:pPr>
              <w:widowControl/>
              <w:spacing w:line="360" w:lineRule="auto"/>
              <w:rPr>
                <w:rFonts w:hint="eastAsia" w:ascii="宋体" w:hAnsi="宋体"/>
                <w:szCs w:val="21"/>
              </w:rPr>
            </w:pPr>
            <w:r>
              <w:rPr>
                <w:rFonts w:hint="eastAsia" w:ascii="宋体" w:hAnsi="宋体"/>
                <w:szCs w:val="21"/>
              </w:rPr>
              <w:t>中华人民共和国公司法</w:t>
            </w:r>
            <w:r>
              <w:rPr>
                <w:rFonts w:hint="eastAsia" w:ascii="宋体" w:hAnsi="宋体"/>
                <w:szCs w:val="21"/>
                <w:lang w:eastAsia="zh-CN"/>
              </w:rPr>
              <w:t>、</w:t>
            </w:r>
            <w:r>
              <w:rPr>
                <w:rFonts w:hint="eastAsia" w:ascii="宋体" w:hAnsi="宋体"/>
                <w:szCs w:val="21"/>
              </w:rPr>
              <w:t>中华人民共和国合同法、中华人民共和国产品质量法</w:t>
            </w:r>
            <w:r>
              <w:rPr>
                <w:rFonts w:hint="eastAsia" w:ascii="宋体" w:hAnsi="宋体"/>
                <w:szCs w:val="21"/>
                <w:lang w:eastAsia="zh-CN"/>
              </w:rPr>
              <w:t>、</w:t>
            </w:r>
            <w:r>
              <w:rPr>
                <w:rFonts w:hint="eastAsia" w:ascii="宋体" w:hAnsi="宋体"/>
                <w:szCs w:val="21"/>
              </w:rPr>
              <w:t>中华人民共和国安全生产法</w:t>
            </w:r>
            <w:r>
              <w:rPr>
                <w:rFonts w:hint="eastAsia" w:ascii="宋体" w:hAnsi="宋体"/>
                <w:szCs w:val="21"/>
                <w:lang w:eastAsia="zh-CN"/>
              </w:rPr>
              <w:t>、</w:t>
            </w:r>
            <w:r>
              <w:rPr>
                <w:rFonts w:hint="eastAsia" w:ascii="宋体" w:hAnsi="宋体"/>
                <w:szCs w:val="21"/>
              </w:rPr>
              <w:t>中华人民共和国计量法等。</w:t>
            </w:r>
          </w:p>
          <w:p>
            <w:pPr>
              <w:widowControl/>
              <w:spacing w:line="360" w:lineRule="auto"/>
              <w:rPr>
                <w:rFonts w:hint="eastAsia" w:ascii="宋体" w:hAnsi="宋体"/>
                <w:szCs w:val="21"/>
              </w:rPr>
            </w:pPr>
            <w:r>
              <w:rPr>
                <w:rFonts w:hint="eastAsia" w:ascii="宋体" w:hAnsi="宋体"/>
                <w:szCs w:val="21"/>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、计算机软件文档编制规范、计算机软件需求规格说明规范、计算机软件测试文档编制规范、核辐射探测器环境条件与试验方法GB/T 10263-2006、核仪器和核辐射探测器质量检验规则GB/T 10257-2001等。</w:t>
            </w:r>
          </w:p>
          <w:p>
            <w:pPr>
              <w:widowControl/>
              <w:spacing w:line="360" w:lineRule="auto"/>
              <w:rPr>
                <w:rFonts w:hint="eastAsia" w:ascii="宋体" w:hAnsi="宋体"/>
                <w:szCs w:val="21"/>
              </w:rPr>
            </w:pPr>
          </w:p>
          <w:p>
            <w:pPr>
              <w:widowControl/>
              <w:spacing w:line="360" w:lineRule="auto"/>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年暂无抽检。</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360" w:lineRule="auto"/>
              <w:rPr>
                <w:rFonts w:ascii="宋体" w:hAnsi="宋体"/>
                <w:szCs w:val="21"/>
              </w:rPr>
            </w:pPr>
            <w:r>
              <w:rPr>
                <w:rFonts w:hint="eastAsia" w:ascii="宋体" w:hAnsi="宋体"/>
                <w:szCs w:val="21"/>
              </w:rPr>
              <w:t>生产工艺</w:t>
            </w:r>
          </w:p>
          <w:p>
            <w:pPr>
              <w:widowControl/>
              <w:spacing w:line="360" w:lineRule="auto"/>
              <w:rPr>
                <w:rFonts w:hint="eastAsia" w:ascii="宋体" w:hAnsi="宋体"/>
                <w:szCs w:val="21"/>
              </w:rPr>
            </w:pPr>
          </w:p>
          <w:p>
            <w:pPr>
              <w:pStyle w:val="2"/>
              <w:spacing w:line="360" w:lineRule="auto"/>
              <w:rPr>
                <w:rFonts w:hint="eastAsia" w:ascii="宋体" w:hAnsi="宋体"/>
                <w:szCs w:val="21"/>
              </w:rPr>
            </w:pPr>
          </w:p>
          <w:p>
            <w:pPr>
              <w:pStyle w:val="2"/>
              <w:spacing w:line="360" w:lineRule="auto"/>
              <w:rPr>
                <w:rFonts w:hint="eastAsia" w:ascii="宋体" w:hAnsi="宋体"/>
                <w:szCs w:val="21"/>
              </w:rPr>
            </w:pPr>
          </w:p>
          <w:p>
            <w:pPr>
              <w:widowControl/>
              <w:spacing w:line="360" w:lineRule="auto"/>
              <w:rPr>
                <w:rFonts w:hint="eastAsia" w:ascii="宋体" w:hAnsi="宋体"/>
                <w:szCs w:val="21"/>
              </w:rPr>
            </w:pPr>
            <w:r>
              <w:rPr>
                <w:rFonts w:hint="eastAsia" w:ascii="宋体" w:hAnsi="宋体"/>
                <w:szCs w:val="21"/>
              </w:rPr>
              <w:t>不适用条款的确认</w:t>
            </w:r>
          </w:p>
          <w:p>
            <w:pPr>
              <w:widowControl/>
              <w:spacing w:line="360" w:lineRule="auto"/>
              <w:rPr>
                <w:rFonts w:ascii="宋体" w:hAnsi="宋体"/>
                <w:szCs w:val="21"/>
              </w:rPr>
            </w:pPr>
            <w:r>
              <w:rPr>
                <w:rFonts w:hint="eastAsia" w:ascii="宋体" w:hAnsi="宋体"/>
                <w:szCs w:val="21"/>
              </w:rPr>
              <w:t>外包的识别</w:t>
            </w:r>
          </w:p>
          <w:p>
            <w:pPr>
              <w:widowControl/>
              <w:spacing w:line="360" w:lineRule="auto"/>
              <w:rPr>
                <w:rFonts w:ascii="宋体" w:hAnsi="宋体"/>
                <w:szCs w:val="21"/>
              </w:rPr>
            </w:pPr>
          </w:p>
          <w:p>
            <w:pPr>
              <w:pStyle w:val="2"/>
              <w:spacing w:line="360" w:lineRule="auto"/>
              <w:rPr>
                <w:rFonts w:ascii="宋体" w:hAnsi="宋体"/>
                <w:szCs w:val="21"/>
              </w:rPr>
            </w:pPr>
          </w:p>
          <w:p>
            <w:pPr>
              <w:pStyle w:val="2"/>
              <w:spacing w:line="360" w:lineRule="auto"/>
              <w:rPr>
                <w:rFonts w:ascii="宋体" w:hAnsi="宋体"/>
                <w:szCs w:val="21"/>
              </w:rPr>
            </w:pPr>
          </w:p>
          <w:p>
            <w:pPr>
              <w:spacing w:line="360" w:lineRule="auto"/>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pPr>
              <w:spacing w:line="360" w:lineRule="auto"/>
            </w:pPr>
          </w:p>
        </w:tc>
        <w:tc>
          <w:tcPr>
            <w:tcW w:w="10004" w:type="dxa"/>
          </w:tcPr>
          <w:p>
            <w:pPr>
              <w:spacing w:line="360" w:lineRule="auto"/>
              <w:rPr>
                <w:rFonts w:hint="eastAsia" w:ascii="宋体" w:hAnsi="宋体"/>
                <w:szCs w:val="21"/>
                <w:lang w:eastAsia="zh-CN"/>
              </w:rPr>
            </w:pPr>
            <w:r>
              <w:rPr>
                <w:rFonts w:hint="eastAsia" w:ascii="宋体" w:hAnsi="宋体"/>
                <w:szCs w:val="21"/>
                <w:lang w:eastAsia="zh-CN"/>
              </w:rPr>
              <w:t>销售流程：签订销售合同-实施采购-采购验收-交付客户</w:t>
            </w:r>
          </w:p>
          <w:p>
            <w:pPr>
              <w:spacing w:line="360" w:lineRule="auto"/>
              <w:rPr>
                <w:rFonts w:hint="eastAsia" w:ascii="宋体" w:hAnsi="宋体"/>
                <w:szCs w:val="21"/>
                <w:lang w:eastAsia="zh-CN"/>
              </w:rPr>
            </w:pPr>
            <w:r>
              <w:rPr>
                <w:rFonts w:hint="eastAsia" w:ascii="宋体" w:hAnsi="宋体"/>
                <w:szCs w:val="21"/>
                <w:lang w:eastAsia="zh-CN"/>
              </w:rPr>
              <w:t>核与辐射监测类仪器、应用软件研发研发流程：了解客户需求-签订合同-实施研发-检验/检测-交付</w:t>
            </w:r>
          </w:p>
          <w:p>
            <w:pPr>
              <w:spacing w:line="360" w:lineRule="auto"/>
              <w:rPr>
                <w:rFonts w:hint="eastAsia" w:ascii="宋体" w:hAnsi="宋体"/>
                <w:szCs w:val="21"/>
                <w:lang w:eastAsia="zh-CN"/>
              </w:rPr>
            </w:pPr>
            <w:r>
              <w:rPr>
                <w:rFonts w:hint="eastAsia" w:ascii="宋体" w:hAnsi="宋体"/>
                <w:szCs w:val="21"/>
                <w:lang w:eastAsia="zh-CN"/>
              </w:rPr>
              <w:t>技术服务流程：了解客户需求-签订合同-实施技术服务-成果交付</w:t>
            </w:r>
          </w:p>
          <w:p>
            <w:pPr>
              <w:spacing w:line="360" w:lineRule="auto"/>
              <w:rPr>
                <w:rFonts w:hint="eastAsia" w:ascii="宋体" w:hAnsi="宋体"/>
                <w:szCs w:val="21"/>
                <w:lang w:eastAsia="zh-CN"/>
              </w:rPr>
            </w:pPr>
          </w:p>
          <w:p>
            <w:pPr>
              <w:spacing w:line="360" w:lineRule="auto"/>
              <w:rPr>
                <w:rFonts w:hint="eastAsia" w:ascii="宋体" w:hAnsi="宋体"/>
                <w:szCs w:val="21"/>
                <w:lang w:eastAsia="zh-CN"/>
              </w:rPr>
            </w:pPr>
            <w:r>
              <w:rPr>
                <w:rFonts w:hint="eastAsia" w:ascii="宋体" w:hAnsi="宋体"/>
                <w:szCs w:val="21"/>
                <w:lang w:val="en-US" w:eastAsia="zh-CN"/>
              </w:rPr>
              <w:t>无</w:t>
            </w:r>
          </w:p>
          <w:p>
            <w:pPr>
              <w:widowControl/>
              <w:spacing w:line="360" w:lineRule="auto"/>
              <w:jc w:val="both"/>
              <w:rPr>
                <w:rFonts w:hint="eastAsia" w:ascii="宋体" w:hAnsi="宋体" w:eastAsia="宋体" w:cs="Times New Roman"/>
                <w:szCs w:val="21"/>
                <w:lang w:eastAsia="zh-CN"/>
              </w:rPr>
            </w:pPr>
            <w:r>
              <w:rPr>
                <w:rFonts w:hint="eastAsia" w:ascii="宋体" w:hAnsi="宋体" w:eastAsia="宋体" w:cs="Times New Roman"/>
                <w:szCs w:val="21"/>
                <w:lang w:eastAsia="zh-CN"/>
              </w:rPr>
              <w:t>公司的质量方针：</w:t>
            </w:r>
          </w:p>
          <w:p>
            <w:pPr>
              <w:widowControl/>
              <w:spacing w:line="360" w:lineRule="auto"/>
              <w:jc w:val="both"/>
              <w:rPr>
                <w:rFonts w:hint="eastAsia" w:ascii="宋体" w:hAnsi="宋体" w:eastAsia="宋体" w:cs="Times New Roman"/>
                <w:szCs w:val="21"/>
                <w:lang w:eastAsia="zh-CN"/>
              </w:rPr>
            </w:pPr>
            <w:r>
              <w:rPr>
                <w:rFonts w:hint="eastAsia" w:ascii="宋体" w:hAnsi="宋体" w:eastAsia="宋体" w:cs="Times New Roman"/>
                <w:szCs w:val="21"/>
                <w:lang w:eastAsia="zh-CN"/>
              </w:rPr>
              <w:t>倾心关注客户利益；</w:t>
            </w:r>
          </w:p>
          <w:p>
            <w:pPr>
              <w:widowControl/>
              <w:spacing w:line="360" w:lineRule="auto"/>
              <w:jc w:val="both"/>
              <w:rPr>
                <w:rFonts w:hint="eastAsia" w:ascii="宋体" w:hAnsi="宋体" w:eastAsia="宋体" w:cs="Times New Roman"/>
                <w:szCs w:val="21"/>
                <w:lang w:eastAsia="zh-CN"/>
              </w:rPr>
            </w:pPr>
            <w:r>
              <w:rPr>
                <w:rFonts w:hint="eastAsia" w:ascii="宋体" w:hAnsi="宋体" w:eastAsia="宋体" w:cs="Times New Roman"/>
                <w:szCs w:val="21"/>
                <w:lang w:eastAsia="zh-CN"/>
              </w:rPr>
              <w:t>创建一流研发企业。</w:t>
            </w:r>
          </w:p>
          <w:p>
            <w:pPr>
              <w:widowControl/>
              <w:spacing w:line="360" w:lineRule="auto"/>
              <w:jc w:val="both"/>
              <w:rPr>
                <w:rFonts w:hint="eastAsia" w:ascii="宋体" w:hAnsi="宋体" w:eastAsia="宋体" w:cs="Times New Roman"/>
                <w:szCs w:val="21"/>
                <w:lang w:eastAsia="zh-CN"/>
              </w:rPr>
            </w:pPr>
            <w:r>
              <w:rPr>
                <w:rFonts w:hint="eastAsia" w:ascii="宋体" w:hAnsi="宋体" w:eastAsia="宋体" w:cs="Times New Roman"/>
                <w:szCs w:val="21"/>
                <w:lang w:eastAsia="zh-CN"/>
              </w:rPr>
              <w:t>真诚服务提升价值；</w:t>
            </w:r>
          </w:p>
          <w:p>
            <w:pPr>
              <w:widowControl/>
              <w:spacing w:line="360" w:lineRule="auto"/>
              <w:jc w:val="both"/>
              <w:rPr>
                <w:rFonts w:hint="eastAsia" w:ascii="宋体" w:hAnsi="宋体" w:eastAsia="宋体" w:cs="Times New Roman"/>
                <w:szCs w:val="21"/>
                <w:lang w:val="en-US" w:eastAsia="zh-CN"/>
              </w:rPr>
            </w:pPr>
            <w:r>
              <w:rPr>
                <w:rFonts w:hint="eastAsia" w:ascii="宋体" w:hAnsi="宋体" w:eastAsia="宋体" w:cs="Times New Roman"/>
                <w:szCs w:val="21"/>
                <w:lang w:eastAsia="zh-CN"/>
              </w:rPr>
              <w:t>持续改进追求卓越。</w:t>
            </w:r>
            <w:r>
              <w:rPr>
                <w:rFonts w:hint="eastAsia" w:ascii="宋体" w:hAnsi="宋体" w:eastAsia="宋体" w:cs="Times New Roman"/>
                <w:szCs w:val="21"/>
                <w:lang w:val="en-US" w:eastAsia="zh-CN"/>
              </w:rPr>
              <w:t xml:space="preserve">  </w:t>
            </w:r>
          </w:p>
          <w:p>
            <w:pPr>
              <w:widowControl/>
              <w:spacing w:line="360" w:lineRule="auto"/>
              <w:jc w:val="both"/>
              <w:rPr>
                <w:rFonts w:hint="eastAsia" w:ascii="宋体" w:hAnsi="宋体" w:eastAsia="宋体" w:cs="Times New Roman"/>
                <w:szCs w:val="21"/>
              </w:rPr>
            </w:pPr>
            <w:r>
              <w:rPr>
                <w:rFonts w:hint="eastAsia" w:ascii="宋体" w:hAnsi="宋体" w:eastAsia="宋体" w:cs="Times New Roman"/>
                <w:szCs w:val="21"/>
                <w:lang w:val="en-US" w:eastAsia="zh-CN"/>
              </w:rPr>
              <w:t xml:space="preserve">  </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公司的质量方针为：</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客户满意度＞90%</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产品交付合格率100%</w:t>
            </w:r>
          </w:p>
          <w:p>
            <w:pPr>
              <w:spacing w:line="360" w:lineRule="auto"/>
              <w:rPr>
                <w:rFonts w:hint="eastAsia" w:ascii="宋体" w:hAnsi="宋体"/>
                <w:szCs w:val="21"/>
              </w:rPr>
            </w:pPr>
            <w:r>
              <w:rPr>
                <w:rFonts w:hint="eastAsia" w:ascii="宋体" w:hAnsi="宋体" w:eastAsia="宋体" w:cs="Times New Roman"/>
                <w:szCs w:val="21"/>
                <w:lang w:val="en-US" w:eastAsia="zh-CN"/>
              </w:rPr>
              <w:t>合同按时间交付率100%</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pPr>
              <w:spacing w:line="360" w:lineRule="auto"/>
            </w:pPr>
          </w:p>
        </w:tc>
        <w:tc>
          <w:tcPr>
            <w:tcW w:w="10004" w:type="dxa"/>
          </w:tcPr>
          <w:p>
            <w:pPr>
              <w:adjustRightInd w:val="0"/>
              <w:snapToGrid w:val="0"/>
              <w:spacing w:line="360" w:lineRule="auto"/>
              <w:rPr>
                <w:rFonts w:hint="eastAsia" w:ascii="宋体" w:hAnsi="宋体"/>
                <w:szCs w:val="21"/>
              </w:rPr>
            </w:pPr>
            <w:r>
              <w:rPr>
                <w:rFonts w:hint="eastAsia"/>
                <w:szCs w:val="21"/>
                <w:lang w:val="en-US" w:eastAsia="zh-CN"/>
              </w:rPr>
              <w:t>与企业管理者代表汪少杰沟通，企业主要使用的检测设备为军用示波器，由顾客提供，企业暂无监视和测量设备</w:t>
            </w:r>
            <w:r>
              <w:rPr>
                <w:rFonts w:hint="eastAsia"/>
                <w:szCs w:val="21"/>
                <w:lang w:eastAsia="zh-CN"/>
              </w:rPr>
              <w:t>。</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pPr>
              <w:spacing w:line="360" w:lineRule="auto"/>
            </w:pPr>
          </w:p>
        </w:tc>
        <w:tc>
          <w:tcPr>
            <w:tcW w:w="10004" w:type="dxa"/>
          </w:tcPr>
          <w:p>
            <w:pPr>
              <w:adjustRightInd w:val="0"/>
              <w:snapToGrid w:val="0"/>
              <w:spacing w:line="360" w:lineRule="auto"/>
              <w:rPr>
                <w:rFonts w:hint="eastAsia"/>
                <w:szCs w:val="21"/>
                <w:lang w:val="en-US" w:eastAsia="zh-CN"/>
              </w:rPr>
            </w:pPr>
            <w:r>
              <w:rPr>
                <w:rFonts w:hint="eastAsia"/>
                <w:szCs w:val="21"/>
                <w:lang w:val="en-US" w:eastAsia="zh-CN"/>
              </w:rPr>
              <w:t>公司目前主要从事核与辐射监测类仪器、应用软件研发。</w:t>
            </w:r>
          </w:p>
          <w:p>
            <w:pPr>
              <w:adjustRightInd w:val="0"/>
              <w:snapToGrid w:val="0"/>
              <w:spacing w:line="360" w:lineRule="auto"/>
              <w:rPr>
                <w:rFonts w:hint="default"/>
                <w:szCs w:val="21"/>
                <w:lang w:val="en-US" w:eastAsia="zh-CN"/>
              </w:rPr>
            </w:pPr>
            <w:r>
              <w:rPr>
                <w:rFonts w:hint="eastAsia"/>
                <w:szCs w:val="21"/>
                <w:lang w:val="en-US" w:eastAsia="zh-CN"/>
              </w:rPr>
              <w:t>查编制有《设计与开发控制程序》，文件对设计开发的全过程进行了规范化管理，以确保所设计开发的产品能满足顾客需求或期望和有关法律法规要求。</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360" w:lineRule="auto"/>
              <w:rPr>
                <w:szCs w:val="21"/>
              </w:rPr>
            </w:pPr>
            <w:r>
              <w:rPr>
                <w:rFonts w:hint="eastAsia"/>
                <w:szCs w:val="21"/>
              </w:rPr>
              <w:t>内部审核：</w:t>
            </w:r>
          </w:p>
          <w:p>
            <w:pPr>
              <w:spacing w:line="360" w:lineRule="auto"/>
              <w:rPr>
                <w:rFonts w:hint="eastAsia"/>
                <w:szCs w:val="21"/>
              </w:rPr>
            </w:pPr>
          </w:p>
          <w:p>
            <w:pPr>
              <w:spacing w:line="360" w:lineRule="auto"/>
              <w:rPr>
                <w:szCs w:val="21"/>
              </w:rPr>
            </w:pPr>
            <w:r>
              <w:rPr>
                <w:rFonts w:hint="eastAsia"/>
                <w:szCs w:val="21"/>
              </w:rPr>
              <w:t>时间</w:t>
            </w:r>
          </w:p>
          <w:p>
            <w:pPr>
              <w:spacing w:line="360" w:lineRule="auto"/>
              <w:rPr>
                <w:szCs w:val="21"/>
              </w:rPr>
            </w:pPr>
            <w:r>
              <w:rPr>
                <w:rFonts w:hint="eastAsia"/>
                <w:szCs w:val="21"/>
              </w:rPr>
              <w:t>审核组</w:t>
            </w:r>
          </w:p>
          <w:p>
            <w:pPr>
              <w:spacing w:line="360" w:lineRule="auto"/>
              <w:rPr>
                <w:szCs w:val="21"/>
              </w:rPr>
            </w:pPr>
            <w:r>
              <w:rPr>
                <w:rFonts w:hint="eastAsia"/>
                <w:szCs w:val="21"/>
              </w:rPr>
              <w:t>不符合及整改</w:t>
            </w:r>
          </w:p>
          <w:p>
            <w:pPr>
              <w:spacing w:line="360" w:lineRule="auto"/>
              <w:rPr>
                <w:rFonts w:hint="eastAsia"/>
                <w:szCs w:val="21"/>
                <w:lang w:eastAsia="zh-CN"/>
              </w:rPr>
            </w:pPr>
          </w:p>
        </w:tc>
        <w:tc>
          <w:tcPr>
            <w:tcW w:w="960" w:type="dxa"/>
          </w:tcPr>
          <w:p>
            <w:pPr>
              <w:spacing w:line="360" w:lineRule="auto"/>
              <w:rPr>
                <w:rFonts w:hint="eastAsia"/>
                <w:szCs w:val="21"/>
              </w:rPr>
            </w:pPr>
          </w:p>
        </w:tc>
        <w:tc>
          <w:tcPr>
            <w:tcW w:w="10004" w:type="dxa"/>
          </w:tcPr>
          <w:p>
            <w:pPr>
              <w:spacing w:line="360" w:lineRule="auto"/>
              <w:rPr>
                <w:rFonts w:hint="eastAsia"/>
                <w:szCs w:val="21"/>
              </w:rPr>
            </w:pPr>
            <w:r>
              <w:rPr>
                <w:rFonts w:hint="eastAsia"/>
                <w:szCs w:val="21"/>
              </w:rPr>
              <w:t>建立有《内部审核控制程序》</w:t>
            </w:r>
          </w:p>
          <w:p>
            <w:pPr>
              <w:spacing w:line="360" w:lineRule="auto"/>
              <w:rPr>
                <w:rFonts w:hint="eastAsia"/>
                <w:szCs w:val="21"/>
              </w:rPr>
            </w:pPr>
            <w:r>
              <w:rPr>
                <w:rFonts w:hint="eastAsia"/>
                <w:szCs w:val="21"/>
              </w:rPr>
              <w:t>见有《20</w:t>
            </w:r>
            <w:r>
              <w:rPr>
                <w:rFonts w:hint="eastAsia"/>
                <w:szCs w:val="21"/>
                <w:lang w:val="en-US" w:eastAsia="zh-CN"/>
              </w:rPr>
              <w:t>20</w:t>
            </w:r>
            <w:r>
              <w:rPr>
                <w:rFonts w:hint="eastAsia"/>
                <w:szCs w:val="21"/>
              </w:rPr>
              <w:t>年度内部审核实施计划》</w:t>
            </w:r>
          </w:p>
          <w:p>
            <w:pPr>
              <w:spacing w:line="360" w:lineRule="auto"/>
              <w:rPr>
                <w:rFonts w:hint="eastAsia"/>
                <w:szCs w:val="21"/>
              </w:rPr>
            </w:pPr>
            <w:r>
              <w:rPr>
                <w:rFonts w:hint="eastAsia"/>
                <w:szCs w:val="21"/>
              </w:rPr>
              <w:t>内审时间：20</w:t>
            </w:r>
            <w:r>
              <w:rPr>
                <w:rFonts w:hint="eastAsia"/>
                <w:szCs w:val="21"/>
                <w:lang w:val="en-US" w:eastAsia="zh-CN"/>
              </w:rPr>
              <w:t>21年4月</w:t>
            </w:r>
            <w:r>
              <w:rPr>
                <w:rFonts w:hint="eastAsia"/>
                <w:szCs w:val="21"/>
              </w:rPr>
              <w:t>1</w:t>
            </w:r>
            <w:r>
              <w:rPr>
                <w:rFonts w:hint="eastAsia"/>
                <w:szCs w:val="21"/>
                <w:lang w:val="en-US" w:eastAsia="zh-CN"/>
              </w:rPr>
              <w:t>日</w:t>
            </w:r>
            <w:r>
              <w:rPr>
                <w:rFonts w:hint="eastAsia"/>
                <w:szCs w:val="21"/>
              </w:rPr>
              <w:t xml:space="preserve">      </w:t>
            </w:r>
          </w:p>
          <w:p>
            <w:pPr>
              <w:spacing w:line="360" w:lineRule="auto"/>
              <w:rPr>
                <w:rFonts w:hint="eastAsia" w:ascii="Times New Roman" w:hAnsi="Times New Roman" w:eastAsia="宋体" w:cs="Times New Roman"/>
                <w:szCs w:val="21"/>
                <w:lang w:eastAsia="zh-CN"/>
              </w:rPr>
            </w:pPr>
            <w:r>
              <w:rPr>
                <w:rFonts w:hint="eastAsia"/>
                <w:szCs w:val="21"/>
              </w:rPr>
              <w:t>审核组长：组长：</w:t>
            </w:r>
            <w:r>
              <w:rPr>
                <w:rFonts w:hint="eastAsia"/>
                <w:szCs w:val="21"/>
                <w:lang w:eastAsia="zh-CN"/>
              </w:rPr>
              <w:t>汪少杰</w:t>
            </w:r>
            <w:r>
              <w:rPr>
                <w:rFonts w:hint="eastAsia"/>
                <w:szCs w:val="21"/>
              </w:rPr>
              <w:t xml:space="preserve">    组</w:t>
            </w:r>
            <w:r>
              <w:rPr>
                <w:rFonts w:hint="eastAsia" w:ascii="Times New Roman" w:hAnsi="Times New Roman" w:eastAsia="宋体" w:cs="Times New Roman"/>
                <w:szCs w:val="21"/>
                <w:lang w:eastAsia="zh-CN"/>
              </w:rPr>
              <w:t>员：马玉洁</w:t>
            </w:r>
          </w:p>
          <w:p>
            <w:pPr>
              <w:spacing w:line="360" w:lineRule="auto"/>
              <w:rPr>
                <w:rFonts w:hint="eastAsia"/>
                <w:szCs w:val="21"/>
              </w:rPr>
            </w:pPr>
            <w:r>
              <w:rPr>
                <w:rFonts w:hint="eastAsia"/>
                <w:szCs w:val="21"/>
              </w:rPr>
              <w:t>见有：《内审不符合项报告》1份，涉及办公室7.5.3条款，不符</w:t>
            </w:r>
            <w:r>
              <w:rPr>
                <w:rFonts w:hint="eastAsia" w:ascii="Times New Roman" w:hAnsi="Times New Roman" w:eastAsia="宋体" w:cs="Times New Roman"/>
                <w:szCs w:val="21"/>
              </w:rPr>
              <w:t>合事实描述“外来文件清单中版本未及时更新”针对该不符合项，已及时采取纠正措施后，经内审员验</w:t>
            </w:r>
            <w:r>
              <w:rPr>
                <w:rFonts w:hint="eastAsia"/>
                <w:szCs w:val="21"/>
              </w:rPr>
              <w:t>证关闭。</w:t>
            </w:r>
          </w:p>
        </w:tc>
        <w:tc>
          <w:tcPr>
            <w:tcW w:w="1585" w:type="dxa"/>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360" w:lineRule="auto"/>
              <w:rPr>
                <w:szCs w:val="21"/>
              </w:rPr>
            </w:pPr>
            <w:r>
              <w:rPr>
                <w:rFonts w:hint="eastAsia"/>
                <w:szCs w:val="21"/>
              </w:rPr>
              <w:t>管理评审：</w:t>
            </w:r>
          </w:p>
          <w:p>
            <w:pPr>
              <w:spacing w:line="360" w:lineRule="auto"/>
              <w:rPr>
                <w:szCs w:val="21"/>
              </w:rPr>
            </w:pPr>
            <w:r>
              <w:rPr>
                <w:rFonts w:hint="eastAsia"/>
                <w:szCs w:val="21"/>
              </w:rPr>
              <w:t>时间</w:t>
            </w:r>
          </w:p>
          <w:p>
            <w:pPr>
              <w:spacing w:line="360" w:lineRule="auto"/>
              <w:rPr>
                <w:szCs w:val="21"/>
              </w:rPr>
            </w:pPr>
            <w:r>
              <w:rPr>
                <w:rFonts w:hint="eastAsia"/>
                <w:szCs w:val="21"/>
              </w:rPr>
              <w:t>输入是否完整</w:t>
            </w:r>
          </w:p>
          <w:p>
            <w:pPr>
              <w:spacing w:line="360" w:lineRule="auto"/>
              <w:rPr>
                <w:rFonts w:hint="eastAsia"/>
                <w:szCs w:val="21"/>
                <w:lang w:eastAsia="zh-CN"/>
              </w:rPr>
            </w:pPr>
            <w:r>
              <w:rPr>
                <w:rFonts w:hint="eastAsia"/>
                <w:szCs w:val="21"/>
              </w:rPr>
              <w:t>提出的改进内容</w:t>
            </w:r>
          </w:p>
        </w:tc>
        <w:tc>
          <w:tcPr>
            <w:tcW w:w="960" w:type="dxa"/>
          </w:tcPr>
          <w:p>
            <w:pPr>
              <w:spacing w:line="360" w:lineRule="auto"/>
            </w:pPr>
          </w:p>
        </w:tc>
        <w:tc>
          <w:tcPr>
            <w:tcW w:w="10004" w:type="dxa"/>
          </w:tcPr>
          <w:p>
            <w:pPr>
              <w:adjustRightInd w:val="0"/>
              <w:spacing w:line="360" w:lineRule="auto"/>
              <w:textAlignment w:val="baseline"/>
              <w:rPr>
                <w:rFonts w:ascii="宋体" w:hAnsi="宋体"/>
                <w:kern w:val="0"/>
                <w:szCs w:val="21"/>
              </w:rPr>
            </w:pPr>
            <w:r>
              <w:rPr>
                <w:rFonts w:hint="eastAsia" w:ascii="宋体" w:hAnsi="宋体"/>
                <w:kern w:val="0"/>
                <w:szCs w:val="21"/>
              </w:rPr>
              <w:t>查见《管理评审计划》、《管理评审报告》等</w:t>
            </w:r>
          </w:p>
          <w:p>
            <w:pPr>
              <w:spacing w:line="360" w:lineRule="auto"/>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w:t>
            </w:r>
            <w:r>
              <w:rPr>
                <w:rFonts w:hint="eastAsia"/>
                <w:szCs w:val="21"/>
                <w:lang w:eastAsia="zh-CN"/>
              </w:rPr>
              <w:t>202</w:t>
            </w:r>
            <w:r>
              <w:rPr>
                <w:rFonts w:hint="eastAsia"/>
                <w:szCs w:val="21"/>
                <w:lang w:val="en-US" w:eastAsia="zh-CN"/>
              </w:rPr>
              <w:t>1年4月26日</w:t>
            </w:r>
          </w:p>
          <w:p>
            <w:pPr>
              <w:adjustRightInd w:val="0"/>
              <w:spacing w:line="360" w:lineRule="auto"/>
              <w:textAlignment w:val="baseline"/>
              <w:rPr>
                <w:szCs w:val="21"/>
              </w:rPr>
            </w:pPr>
            <w:r>
              <w:rPr>
                <w:rFonts w:hint="eastAsia"/>
                <w:szCs w:val="21"/>
              </w:rPr>
              <w:t>由总经理主持完成。</w:t>
            </w:r>
          </w:p>
          <w:p>
            <w:pPr>
              <w:adjustRightInd w:val="0"/>
              <w:spacing w:line="360" w:lineRule="auto"/>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360" w:lineRule="auto"/>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360" w:lineRule="auto"/>
              <w:textAlignment w:val="baseline"/>
              <w:rPr>
                <w:rFonts w:hint="eastAsia" w:ascii="宋体" w:hAnsi="宋体" w:eastAsia="宋体" w:cs="Times New Roman"/>
                <w:kern w:val="0"/>
                <w:szCs w:val="21"/>
              </w:rPr>
            </w:pPr>
            <w:r>
              <w:rPr>
                <w:rFonts w:hint="eastAsia" w:ascii="宋体" w:hAnsi="宋体"/>
                <w:kern w:val="0"/>
                <w:szCs w:val="21"/>
              </w:rPr>
              <w:t>提出改进</w:t>
            </w:r>
            <w:r>
              <w:rPr>
                <w:rFonts w:hint="eastAsia" w:ascii="宋体" w:hAnsi="宋体" w:eastAsia="宋体" w:cs="Times New Roman"/>
                <w:kern w:val="0"/>
                <w:szCs w:val="21"/>
              </w:rPr>
              <w:t>项：</w:t>
            </w:r>
          </w:p>
          <w:p>
            <w:pPr>
              <w:adjustRightInd w:val="0"/>
              <w:spacing w:line="360" w:lineRule="auto"/>
              <w:textAlignment w:val="baseline"/>
              <w:rPr>
                <w:rFonts w:hint="eastAsia" w:ascii="宋体" w:hAnsi="宋体" w:eastAsia="宋体" w:cs="Times New Roman"/>
                <w:kern w:val="0"/>
                <w:szCs w:val="21"/>
              </w:rPr>
            </w:pPr>
            <w:r>
              <w:rPr>
                <w:rFonts w:hint="eastAsia" w:ascii="宋体" w:hAnsi="宋体" w:eastAsia="宋体" w:cs="Times New Roman"/>
                <w:kern w:val="0"/>
                <w:szCs w:val="21"/>
              </w:rPr>
              <w:t>1、加强对研发途中的检查工作。</w:t>
            </w:r>
          </w:p>
          <w:p>
            <w:pPr>
              <w:spacing w:line="360" w:lineRule="auto"/>
              <w:rPr>
                <w:rFonts w:hint="eastAsia"/>
                <w:szCs w:val="21"/>
              </w:rPr>
            </w:pPr>
          </w:p>
        </w:tc>
        <w:tc>
          <w:tcPr>
            <w:tcW w:w="1585" w:type="dxa"/>
          </w:tcPr>
          <w:p>
            <w:pPr>
              <w:spacing w:line="360" w:lineRule="auto"/>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43079"/>
    <w:rsid w:val="046419CA"/>
    <w:rsid w:val="058C6D40"/>
    <w:rsid w:val="10DC746C"/>
    <w:rsid w:val="208A087A"/>
    <w:rsid w:val="2E8D4D53"/>
    <w:rsid w:val="3BD73539"/>
    <w:rsid w:val="3C7B773A"/>
    <w:rsid w:val="3DBB02E1"/>
    <w:rsid w:val="4DE23DC2"/>
    <w:rsid w:val="595E4B5A"/>
    <w:rsid w:val="5C710FF8"/>
    <w:rsid w:val="5DCF0917"/>
    <w:rsid w:val="5F103E01"/>
    <w:rsid w:val="7B586E02"/>
    <w:rsid w:val="7D6B5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2021-05-30T00:26:36Z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DDDF59DB86F643708FF6F886D762AA1C</vt:lpwstr>
  </property>
</Properties>
</file>