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石家庄华安热能科技有限公司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张惠卿</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18.02.01,19.13.01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石家庄华安热能科技有限公司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河北省石家庄市藁城区兴安镇武家庄村西南50米处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052160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河北省石家庄市藁城区兴安镇武家庄村西南50米处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052160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武翠</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15132477215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武贞国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贾卫华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武翠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储热式电采暖器、固体储热常压电锅炉的生产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18.02.01;19.13.01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9.1.1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7.1.2</w:t>
            </w:r>
            <w:r>
              <w:rPr>
                <w:rFonts w:hint="eastAsia" w:ascii="楷体" w:hAnsi="楷体" w:eastAsia="楷体" w:cs="楷体"/>
                <w:sz w:val="21"/>
                <w:szCs w:val="21"/>
                <w:lang w:val="en-US" w:eastAsia="zh-CN"/>
              </w:rPr>
              <w:t>/</w:t>
            </w:r>
            <w:r>
              <w:rPr>
                <w:rFonts w:hint="eastAsia" w:ascii="楷体" w:hAnsi="楷体" w:eastAsia="楷体" w:cs="楷体"/>
                <w:sz w:val="21"/>
                <w:szCs w:val="21"/>
              </w:rPr>
              <w:t>7.1.6</w:t>
            </w:r>
            <w:r>
              <w:rPr>
                <w:rFonts w:hint="eastAsia" w:ascii="楷体" w:hAnsi="楷体" w:eastAsia="楷体" w:cs="楷体"/>
                <w:sz w:val="21"/>
                <w:szCs w:val="21"/>
                <w:lang w:val="en-US" w:eastAsia="zh-CN"/>
              </w:rPr>
              <w:t>/</w:t>
            </w:r>
            <w:r>
              <w:rPr>
                <w:rFonts w:hint="eastAsia" w:ascii="楷体" w:hAnsi="楷体" w:eastAsia="楷体" w:cs="楷体"/>
                <w:sz w:val="21"/>
                <w:szCs w:val="21"/>
              </w:rPr>
              <w:t>7.2-7.5</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w:t>
            </w:r>
            <w:r>
              <w:rPr>
                <w:rFonts w:hint="eastAsia" w:ascii="楷体" w:hAnsi="楷体" w:eastAsia="楷体" w:cs="楷体"/>
                <w:sz w:val="21"/>
                <w:szCs w:val="21"/>
              </w:rPr>
              <w:t>8.5.3</w:t>
            </w:r>
            <w:r>
              <w:rPr>
                <w:rFonts w:hint="eastAsia" w:ascii="楷体" w:hAnsi="楷体" w:eastAsia="楷体" w:cs="楷体"/>
                <w:sz w:val="21"/>
                <w:szCs w:val="21"/>
                <w:lang w:val="en-US" w:eastAsia="zh-CN"/>
              </w:rPr>
              <w:t>/</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7.1.3</w:t>
            </w:r>
            <w:r>
              <w:rPr>
                <w:rFonts w:hint="eastAsia" w:ascii="楷体" w:hAnsi="楷体" w:eastAsia="楷体" w:cs="楷体"/>
                <w:sz w:val="21"/>
                <w:szCs w:val="21"/>
                <w:lang w:val="en-US" w:eastAsia="zh-CN"/>
              </w:rPr>
              <w:t>/7.1.4/</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8.3</w:t>
            </w:r>
            <w:r>
              <w:rPr>
                <w:rFonts w:hint="eastAsia" w:ascii="楷体" w:hAnsi="楷体" w:eastAsia="楷体" w:cs="楷体"/>
                <w:sz w:val="21"/>
                <w:szCs w:val="21"/>
                <w:lang w:val="en-US" w:eastAsia="zh-CN"/>
              </w:rPr>
              <w:t>/</w:t>
            </w:r>
            <w:r>
              <w:rPr>
                <w:rFonts w:hint="eastAsia" w:ascii="楷体" w:hAnsi="楷体" w:eastAsia="楷体" w:cs="楷体"/>
                <w:sz w:val="21"/>
                <w:szCs w:val="21"/>
              </w:rPr>
              <w:t>8.5</w:t>
            </w:r>
            <w:r>
              <w:rPr>
                <w:rFonts w:hint="eastAsia" w:ascii="楷体" w:hAnsi="楷体" w:eastAsia="楷体" w:cs="楷体"/>
                <w:sz w:val="21"/>
                <w:szCs w:val="21"/>
                <w:lang w:val="en-US" w:eastAsia="zh-CN"/>
              </w:rPr>
              <w:t>.1/8.5.2/8.5.4/8.5.6</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 xml:space="preserve">           技检部</w:t>
            </w:r>
          </w:p>
        </w:tc>
        <w:tc>
          <w:tcPr>
            <w:tcW w:w="6804" w:type="dxa"/>
          </w:tcPr>
          <w:p>
            <w:pPr>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none"/>
                <w:lang w:val="en-US" w:eastAsia="zh-CN"/>
              </w:rPr>
              <w:t xml:space="preserve">   5.3/6.2/7.1.5/8.6/8.7</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376"/>
        <w:gridCol w:w="1280"/>
        <w:gridCol w:w="5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7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80" w:type="dxa"/>
          </w:tcPr>
          <w:p>
            <w:pPr>
              <w:rPr>
                <w:b/>
                <w:color w:val="000000" w:themeColor="text1"/>
                <w:sz w:val="20"/>
                <w:szCs w:val="20"/>
              </w:rPr>
            </w:pPr>
            <w:r>
              <w:rPr>
                <w:rFonts w:hint="eastAsia"/>
                <w:b/>
                <w:color w:val="000000" w:themeColor="text1"/>
                <w:sz w:val="20"/>
                <w:szCs w:val="20"/>
              </w:rPr>
              <w:t>规格</w:t>
            </w:r>
          </w:p>
        </w:tc>
        <w:tc>
          <w:tcPr>
            <w:tcW w:w="524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sz w:val="21"/>
                <w:szCs w:val="21"/>
              </w:rPr>
              <w:t>储热式电采暖器</w:t>
            </w:r>
          </w:p>
        </w:tc>
        <w:tc>
          <w:tcPr>
            <w:tcW w:w="137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128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5249" w:type="dxa"/>
          </w:tcPr>
          <w:p>
            <w:pPr>
              <w:rPr>
                <w:b/>
                <w:color w:val="000000" w:themeColor="text1"/>
                <w:sz w:val="20"/>
                <w:szCs w:val="20"/>
              </w:rPr>
            </w:pPr>
            <w:r>
              <w:rPr>
                <w:rFonts w:hint="eastAsia" w:ascii="楷体" w:hAnsi="楷体" w:eastAsia="楷体" w:cs="楷体"/>
                <w:b w:val="0"/>
                <w:bCs w:val="0"/>
                <w:sz w:val="21"/>
                <w:szCs w:val="21"/>
              </w:rPr>
              <w:t>《采暖散热器散热量测定方法》</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GB/T 13754-2008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sz w:val="21"/>
                <w:szCs w:val="21"/>
              </w:rPr>
              <w:t>固体储热常压电锅炉</w:t>
            </w:r>
          </w:p>
        </w:tc>
        <w:tc>
          <w:tcPr>
            <w:tcW w:w="1376"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多种</w:t>
            </w:r>
          </w:p>
        </w:tc>
        <w:tc>
          <w:tcPr>
            <w:tcW w:w="1280"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多种</w:t>
            </w:r>
          </w:p>
        </w:tc>
        <w:tc>
          <w:tcPr>
            <w:tcW w:w="5249" w:type="dxa"/>
          </w:tcPr>
          <w:p>
            <w:pPr>
              <w:bidi w:val="0"/>
              <w:rPr>
                <w:b/>
                <w:color w:val="000000" w:themeColor="text1"/>
                <w:sz w:val="20"/>
                <w:szCs w:val="20"/>
              </w:rPr>
            </w:pPr>
            <w:r>
              <w:rPr>
                <w:rFonts w:hint="eastAsia" w:ascii="楷体" w:hAnsi="楷体" w:eastAsia="楷体" w:cs="楷体"/>
                <w:b w:val="0"/>
                <w:bCs w:val="0"/>
                <w:sz w:val="21"/>
                <w:szCs w:val="21"/>
              </w:rPr>
              <w:t>《电加热锅炉技术条件》</w:t>
            </w:r>
            <w:r>
              <w:rPr>
                <w:rFonts w:hint="eastAsia" w:ascii="楷体" w:hAnsi="楷体" w:eastAsia="楷体" w:cs="楷体"/>
                <w:b w:val="0"/>
                <w:bCs w:val="0"/>
                <w:sz w:val="21"/>
                <w:szCs w:val="21"/>
              </w:rPr>
              <w:tab/>
            </w:r>
            <w:r>
              <w:rPr>
                <w:rFonts w:hint="eastAsia" w:ascii="楷体" w:hAnsi="楷体" w:eastAsia="楷体" w:cs="楷体"/>
                <w:b w:val="0"/>
                <w:bCs w:val="0"/>
                <w:sz w:val="21"/>
                <w:szCs w:val="21"/>
              </w:rPr>
              <w:t>JB/T 10393-2002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376" w:type="dxa"/>
          </w:tcPr>
          <w:p>
            <w:pPr>
              <w:rPr>
                <w:b/>
                <w:color w:val="000000" w:themeColor="text1"/>
                <w:sz w:val="20"/>
                <w:szCs w:val="20"/>
              </w:rPr>
            </w:pPr>
          </w:p>
        </w:tc>
        <w:tc>
          <w:tcPr>
            <w:tcW w:w="1280" w:type="dxa"/>
          </w:tcPr>
          <w:p>
            <w:pPr>
              <w:rPr>
                <w:b/>
                <w:color w:val="000000" w:themeColor="text1"/>
                <w:sz w:val="20"/>
                <w:szCs w:val="20"/>
              </w:rPr>
            </w:pPr>
          </w:p>
        </w:tc>
        <w:tc>
          <w:tcPr>
            <w:tcW w:w="524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376" w:type="dxa"/>
          </w:tcPr>
          <w:p>
            <w:pPr>
              <w:rPr>
                <w:b/>
                <w:color w:val="000000" w:themeColor="text1"/>
                <w:sz w:val="20"/>
                <w:szCs w:val="20"/>
              </w:rPr>
            </w:pPr>
          </w:p>
        </w:tc>
        <w:tc>
          <w:tcPr>
            <w:tcW w:w="1280" w:type="dxa"/>
          </w:tcPr>
          <w:p>
            <w:pPr>
              <w:rPr>
                <w:b/>
                <w:color w:val="000000" w:themeColor="text1"/>
                <w:sz w:val="20"/>
                <w:szCs w:val="20"/>
              </w:rPr>
            </w:pPr>
          </w:p>
        </w:tc>
        <w:tc>
          <w:tcPr>
            <w:tcW w:w="524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bidi w:val="0"/>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bidi w:val="0"/>
              <w:rPr>
                <w:rFonts w:hint="eastAsia" w:ascii="楷体" w:hAnsi="楷体" w:eastAsia="楷体" w:cs="楷体"/>
                <w:sz w:val="21"/>
                <w:szCs w:val="21"/>
              </w:rPr>
            </w:pPr>
            <w:r>
              <w:rPr>
                <w:rFonts w:hint="eastAsia" w:ascii="楷体" w:hAnsi="楷体" w:eastAsia="楷体" w:cs="楷体"/>
                <w:sz w:val="21"/>
                <w:szCs w:val="21"/>
              </w:rPr>
              <w:t>●企业位于</w:t>
            </w:r>
            <w:r>
              <w:rPr>
                <w:rFonts w:hint="eastAsia" w:ascii="楷体" w:hAnsi="楷体" w:eastAsia="楷体" w:cs="楷体"/>
                <w:sz w:val="21"/>
                <w:szCs w:val="21"/>
                <w:lang w:val="en-US" w:eastAsia="zh-CN"/>
              </w:rPr>
              <w:t>石家庄</w:t>
            </w:r>
            <w:r>
              <w:rPr>
                <w:rFonts w:hint="eastAsia" w:ascii="楷体" w:hAnsi="楷体" w:eastAsia="楷体" w:cs="楷体"/>
                <w:sz w:val="21"/>
                <w:szCs w:val="21"/>
              </w:rPr>
              <w:t>市</w:t>
            </w:r>
            <w:r>
              <w:rPr>
                <w:rFonts w:hint="eastAsia" w:ascii="楷体" w:hAnsi="楷体" w:eastAsia="楷体" w:cs="楷体"/>
                <w:sz w:val="21"/>
                <w:szCs w:val="21"/>
                <w:lang w:val="en-US" w:eastAsia="zh-CN"/>
              </w:rPr>
              <w:t>藁城区</w:t>
            </w:r>
            <w:r>
              <w:rPr>
                <w:rFonts w:hint="eastAsia" w:ascii="楷体" w:hAnsi="楷体" w:eastAsia="楷体" w:cs="楷体"/>
                <w:sz w:val="21"/>
                <w:szCs w:val="21"/>
              </w:rPr>
              <w:t>，为</w:t>
            </w:r>
            <w:r>
              <w:rPr>
                <w:rFonts w:hint="eastAsia" w:ascii="楷体" w:hAnsi="楷体" w:eastAsia="楷体" w:cs="楷体"/>
                <w:sz w:val="21"/>
                <w:szCs w:val="21"/>
                <w:lang w:val="en-US" w:eastAsia="zh-CN"/>
              </w:rPr>
              <w:t>采暖炉、电热器</w:t>
            </w:r>
            <w:r>
              <w:rPr>
                <w:rFonts w:hint="eastAsia" w:ascii="楷体" w:hAnsi="楷体" w:eastAsia="楷体" w:cs="楷体"/>
                <w:sz w:val="21"/>
                <w:szCs w:val="21"/>
              </w:rPr>
              <w:t>制造基地</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相关产业发展潜力很大，</w:t>
            </w:r>
            <w:r>
              <w:rPr>
                <w:rFonts w:hint="eastAsia" w:ascii="楷体" w:hAnsi="楷体" w:eastAsia="楷体" w:cs="楷体"/>
                <w:sz w:val="21"/>
                <w:szCs w:val="21"/>
              </w:rPr>
              <w:t>企业负责人经营本行业多年，</w:t>
            </w:r>
            <w:r>
              <w:rPr>
                <w:rFonts w:hint="eastAsia" w:ascii="楷体" w:hAnsi="楷体" w:eastAsia="楷体" w:cs="楷体"/>
                <w:sz w:val="21"/>
                <w:szCs w:val="21"/>
                <w:lang w:val="en-US" w:eastAsia="zh-CN"/>
              </w:rPr>
              <w:t xml:space="preserve">  管理经验丰富，</w:t>
            </w:r>
            <w:r>
              <w:rPr>
                <w:rFonts w:hint="eastAsia" w:ascii="楷体" w:hAnsi="楷体" w:eastAsia="楷体" w:cs="楷体"/>
                <w:sz w:val="21"/>
                <w:szCs w:val="21"/>
              </w:rPr>
              <w:t>业务基本稳定。</w:t>
            </w:r>
          </w:p>
          <w:p>
            <w:pPr>
              <w:bidi w:val="0"/>
              <w:rPr>
                <w:rFonts w:hint="eastAsia" w:ascii="楷体" w:hAnsi="楷体" w:eastAsia="楷体" w:cs="楷体"/>
                <w:sz w:val="21"/>
                <w:szCs w:val="21"/>
              </w:rPr>
            </w:pPr>
            <w:r>
              <w:rPr>
                <w:rFonts w:hint="eastAsia" w:ascii="楷体" w:hAnsi="楷体" w:eastAsia="楷体" w:cs="楷体"/>
                <w:sz w:val="21"/>
                <w:szCs w:val="21"/>
              </w:rPr>
              <w:t>●管理层识别、确定了与战略、目标相关、影响实现管理体系预期结果的内、外部因素，并且实时关注、评审不断变化的内外部信息。</w:t>
            </w:r>
          </w:p>
          <w:p>
            <w:pPr>
              <w:bidi w:val="0"/>
              <w:rPr>
                <w:rFonts w:hint="eastAsia" w:ascii="楷体" w:hAnsi="楷体" w:eastAsia="楷体" w:cs="楷体"/>
                <w:sz w:val="21"/>
                <w:szCs w:val="21"/>
              </w:rPr>
            </w:pPr>
            <w:r>
              <w:rPr>
                <w:rFonts w:hint="eastAsia" w:ascii="楷体" w:hAnsi="楷体" w:eastAsia="楷体" w:cs="楷体"/>
                <w:sz w:val="21"/>
                <w:szCs w:val="21"/>
              </w:rPr>
              <w:t>●提供组织内外部环境识别表</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外部环境：国际环境、.社会环境、政治环境、经济环境、空气质量环境等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内部环境；企业文化、公司价值观、知识积累、绩效等</w:t>
            </w:r>
          </w:p>
          <w:p>
            <w:pPr>
              <w:spacing w:line="240" w:lineRule="exact"/>
              <w:rPr>
                <w:b/>
                <w:color w:val="000000" w:themeColor="text1"/>
                <w:sz w:val="20"/>
                <w:szCs w:val="20"/>
              </w:rPr>
            </w:pPr>
            <w:r>
              <w:rPr>
                <w:rFonts w:hint="eastAsia" w:ascii="楷体" w:hAnsi="楷体" w:eastAsia="楷体" w:cs="楷体"/>
                <w:sz w:val="21"/>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bidi w:val="0"/>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bidi w:val="0"/>
              <w:rPr>
                <w:rFonts w:hint="eastAsia" w:ascii="楷体" w:hAnsi="楷体" w:eastAsia="楷体" w:cs="楷体"/>
                <w:sz w:val="21"/>
                <w:szCs w:val="21"/>
              </w:rPr>
            </w:pPr>
            <w:r>
              <w:rPr>
                <w:rFonts w:hint="eastAsia" w:ascii="楷体" w:hAnsi="楷体" w:eastAsia="楷体" w:cs="楷体"/>
                <w:sz w:val="21"/>
                <w:szCs w:val="21"/>
              </w:rPr>
              <w:t>●公司识别并确定了影响公司提供产品和服务能力的利益相关方：顾客、员工、供应商等。</w:t>
            </w:r>
          </w:p>
          <w:p>
            <w:pPr>
              <w:bidi w:val="0"/>
              <w:rPr>
                <w:rFonts w:hint="eastAsia" w:ascii="楷体" w:hAnsi="楷体" w:eastAsia="楷体" w:cs="楷体"/>
                <w:sz w:val="21"/>
                <w:szCs w:val="21"/>
              </w:rPr>
            </w:pPr>
            <w:r>
              <w:rPr>
                <w:rFonts w:hint="eastAsia" w:ascii="楷体" w:hAnsi="楷体" w:eastAsia="楷体" w:cs="楷体"/>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bidi w:val="0"/>
              <w:rPr>
                <w:rFonts w:hint="eastAsia" w:ascii="楷体" w:hAnsi="楷体" w:eastAsia="楷体" w:cs="楷体"/>
                <w:sz w:val="21"/>
                <w:szCs w:val="21"/>
              </w:rPr>
            </w:pPr>
            <w:r>
              <w:rPr>
                <w:rFonts w:hint="eastAsia" w:ascii="楷体" w:hAnsi="楷体" w:eastAsia="楷体" w:cs="楷体"/>
                <w:sz w:val="21"/>
                <w:szCs w:val="21"/>
              </w:rPr>
              <w:t>●相关方进行监视和评审的方式方法：公司通过走访、会议、客户要求等方式对相关方的信息进行监视和评审。</w:t>
            </w:r>
          </w:p>
          <w:p>
            <w:pPr>
              <w:bidi w:val="0"/>
              <w:rPr>
                <w:rFonts w:hint="eastAsia" w:ascii="楷体" w:hAnsi="楷体" w:eastAsia="楷体" w:cs="楷体"/>
                <w:sz w:val="21"/>
                <w:szCs w:val="21"/>
              </w:rPr>
            </w:pPr>
            <w:r>
              <w:rPr>
                <w:rFonts w:hint="eastAsia" w:ascii="楷体" w:hAnsi="楷体" w:eastAsia="楷体" w:cs="楷体"/>
                <w:sz w:val="21"/>
                <w:szCs w:val="21"/>
              </w:rPr>
              <w:t>抽相关方列表</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相关方：供应商</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需求和期望：交易价格公平合理（措施：定期结合市场变化情况对交易价格适度调整）</w:t>
            </w:r>
          </w:p>
          <w:p>
            <w:pPr>
              <w:bidi w:val="0"/>
              <w:rPr>
                <w:rFonts w:hint="eastAsia" w:ascii="楷体" w:hAnsi="楷体" w:eastAsia="楷体" w:cs="楷体"/>
                <w:sz w:val="21"/>
                <w:szCs w:val="21"/>
              </w:rPr>
            </w:pPr>
            <w:r>
              <w:rPr>
                <w:rFonts w:hint="eastAsia" w:ascii="楷体" w:hAnsi="楷体" w:eastAsia="楷体" w:cs="楷体"/>
                <w:sz w:val="21"/>
                <w:szCs w:val="21"/>
              </w:rPr>
              <w:t>按约定时间付款（措施：做好资金支出预算，落实相应资金储备）</w:t>
            </w:r>
          </w:p>
          <w:p>
            <w:pPr>
              <w:bidi w:val="0"/>
              <w:rPr>
                <w:rFonts w:hint="eastAsia" w:ascii="楷体" w:hAnsi="楷体" w:eastAsia="楷体" w:cs="楷体"/>
                <w:sz w:val="21"/>
                <w:szCs w:val="21"/>
              </w:rPr>
            </w:pPr>
            <w:r>
              <w:rPr>
                <w:rFonts w:hint="eastAsia" w:ascii="楷体" w:hAnsi="楷体" w:eastAsia="楷体" w:cs="楷体"/>
                <w:sz w:val="21"/>
                <w:szCs w:val="21"/>
              </w:rPr>
              <w:t>另抽其他相关方需求及措施，均保存完好，符合要求。</w:t>
            </w:r>
          </w:p>
          <w:p>
            <w:pPr>
              <w:spacing w:line="240" w:lineRule="exact"/>
              <w:rPr>
                <w:b/>
                <w:color w:val="000000" w:themeColor="text1"/>
                <w:sz w:val="20"/>
                <w:szCs w:val="20"/>
              </w:rPr>
            </w:pPr>
            <w:r>
              <w:rPr>
                <w:rFonts w:hint="eastAsia" w:ascii="楷体" w:hAnsi="楷体" w:eastAsia="楷体" w:cs="楷体"/>
                <w:sz w:val="21"/>
                <w:szCs w:val="21"/>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lang w:eastAsia="zh-CN"/>
              </w:rPr>
              <w:t>☑</w:t>
            </w:r>
            <w:r>
              <w:rPr>
                <w:rFonts w:hint="eastAsia"/>
              </w:rPr>
              <w:t>质量/□环境/□职业健康安全方针（组织方针的适宜性/持续适宜性、方针的传达及职工的理解等）</w:t>
            </w:r>
          </w:p>
          <w:p>
            <w:pPr>
              <w:spacing w:line="240" w:lineRule="exact"/>
              <w:ind w:left="199" w:leftChars="95"/>
              <w:rPr>
                <w:rFonts w:hint="eastAsia" w:ascii="楷体" w:hAnsi="楷体" w:eastAsia="楷体" w:cs="楷体"/>
                <w:u w:val="none"/>
                <w:lang w:val="en-US" w:eastAsia="zh-CN"/>
              </w:rPr>
            </w:pPr>
            <w:r>
              <w:rPr>
                <w:rFonts w:hint="eastAsia" w:ascii="楷体" w:hAnsi="楷体" w:eastAsia="楷体" w:cs="楷体"/>
                <w:u w:val="none"/>
                <w:lang w:val="en-US" w:eastAsia="zh-CN"/>
              </w:rPr>
              <w:t>科学管理、质量领先、持续改进、顾客满意。</w:t>
            </w:r>
          </w:p>
          <w:p>
            <w:pPr>
              <w:pStyle w:val="2"/>
              <w:ind w:left="0" w:leftChars="0" w:firstLine="0" w:firstLineChars="0"/>
            </w:pPr>
            <w:r>
              <w:rPr>
                <w:rFonts w:hint="eastAsia" w:ascii="楷体" w:hAnsi="楷体" w:eastAsia="楷体" w:cs="楷体"/>
                <w:color w:val="auto"/>
                <w:sz w:val="21"/>
                <w:szCs w:val="21"/>
                <w:u w:val="none"/>
              </w:rPr>
              <w:t>方针与企业的经营宗旨</w:t>
            </w:r>
            <w:r>
              <w:rPr>
                <w:rFonts w:hint="eastAsia" w:ascii="楷体" w:hAnsi="楷体" w:eastAsia="楷体" w:cs="楷体"/>
                <w:color w:val="auto"/>
                <w:sz w:val="21"/>
                <w:szCs w:val="21"/>
                <w:u w:val="none"/>
                <w:lang w:eastAsia="zh-CN"/>
              </w:rPr>
              <w:t>基本</w:t>
            </w:r>
            <w:r>
              <w:rPr>
                <w:rFonts w:hint="eastAsia" w:ascii="楷体" w:hAnsi="楷体" w:eastAsia="楷体" w:cs="楷体"/>
                <w:color w:val="auto"/>
                <w:sz w:val="21"/>
                <w:szCs w:val="21"/>
                <w:u w:val="none"/>
              </w:rPr>
              <w:t>相适应；通过会议传达，沟通，让全体员工理解执行。并定期进行评审（一般一年一次）</w:t>
            </w:r>
            <w:r>
              <w:rPr>
                <w:rFonts w:hint="eastAsia" w:ascii="楷体" w:hAnsi="楷体" w:eastAsia="楷体" w:cs="楷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numId w:val="0"/>
              </w:numPr>
              <w:bidi w:val="0"/>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numId w:val="0"/>
              </w:numPr>
              <w:bidi w:val="0"/>
              <w:ind w:leftChars="0"/>
              <w:rPr>
                <w:rFonts w:hint="eastAsia" w:ascii="楷体" w:hAnsi="楷体" w:eastAsia="楷体" w:cs="楷体"/>
                <w:sz w:val="21"/>
                <w:szCs w:val="21"/>
              </w:rPr>
            </w:pPr>
            <w:r>
              <w:rPr>
                <w:rFonts w:hint="eastAsia" w:ascii="楷体" w:hAnsi="楷体" w:eastAsia="楷体" w:cs="楷体"/>
                <w:sz w:val="21"/>
                <w:szCs w:val="21"/>
              </w:rPr>
              <w:t>●企业有对风险和机遇的措施进行了识别和控制：</w:t>
            </w:r>
          </w:p>
          <w:p>
            <w:pPr>
              <w:bidi w:val="0"/>
              <w:rPr>
                <w:rFonts w:hint="eastAsia" w:ascii="楷体" w:hAnsi="楷体" w:eastAsia="楷体" w:cs="楷体"/>
                <w:sz w:val="21"/>
                <w:szCs w:val="21"/>
              </w:rPr>
            </w:pPr>
            <w:r>
              <w:rPr>
                <w:rFonts w:hint="eastAsia" w:ascii="楷体" w:hAnsi="楷体" w:eastAsia="楷体" w:cs="楷体"/>
                <w:sz w:val="21"/>
                <w:szCs w:val="21"/>
              </w:rPr>
              <w:t>●企业目前识别风险点：</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生产部</w:t>
            </w:r>
            <w:r>
              <w:rPr>
                <w:rFonts w:hint="eastAsia" w:ascii="楷体" w:hAnsi="楷体" w:eastAsia="楷体" w:cs="楷体"/>
                <w:sz w:val="21"/>
                <w:szCs w:val="21"/>
                <w:lang w:val="en-US" w:eastAsia="zh-CN"/>
              </w:rPr>
              <w:t>/技检部</w:t>
            </w:r>
          </w:p>
          <w:p>
            <w:pPr>
              <w:bidi w:val="0"/>
              <w:rPr>
                <w:rFonts w:hint="eastAsia" w:ascii="楷体" w:hAnsi="楷体" w:eastAsia="楷体" w:cs="楷体"/>
                <w:sz w:val="21"/>
                <w:szCs w:val="21"/>
              </w:rPr>
            </w:pPr>
            <w:r>
              <w:rPr>
                <w:rFonts w:hint="eastAsia" w:ascii="楷体" w:hAnsi="楷体" w:eastAsia="楷体" w:cs="楷体"/>
                <w:sz w:val="21"/>
                <w:szCs w:val="21"/>
              </w:rPr>
              <w:t>不合格流出（措施：加强不合格品登记、标识）</w:t>
            </w:r>
          </w:p>
          <w:p>
            <w:pPr>
              <w:bidi w:val="0"/>
              <w:rPr>
                <w:rFonts w:hint="eastAsia" w:ascii="楷体" w:hAnsi="楷体" w:eastAsia="楷体" w:cs="楷体"/>
                <w:sz w:val="21"/>
                <w:szCs w:val="21"/>
              </w:rPr>
            </w:pPr>
            <w:r>
              <w:rPr>
                <w:rFonts w:hint="eastAsia" w:ascii="楷体" w:hAnsi="楷体" w:eastAsia="楷体" w:cs="楷体"/>
                <w:sz w:val="21"/>
                <w:szCs w:val="21"/>
              </w:rPr>
              <w:t>检验质量不达标（措施：出厂检验合格允许出场；诚信经营；杜绝假冒）</w:t>
            </w:r>
          </w:p>
          <w:p>
            <w:pPr>
              <w:bidi w:val="0"/>
              <w:rPr>
                <w:rFonts w:hint="eastAsia" w:ascii="楷体" w:hAnsi="楷体" w:eastAsia="楷体" w:cs="楷体"/>
                <w:sz w:val="21"/>
                <w:szCs w:val="21"/>
              </w:rPr>
            </w:pPr>
            <w:r>
              <w:rPr>
                <w:rFonts w:hint="eastAsia" w:ascii="楷体" w:hAnsi="楷体" w:eastAsia="楷体" w:cs="楷体"/>
                <w:sz w:val="21"/>
                <w:szCs w:val="21"/>
              </w:rPr>
              <w:t>检测设备没有定期校验（措施：提前制定 校验日）</w:t>
            </w:r>
          </w:p>
          <w:p>
            <w:pPr>
              <w:bidi w:val="0"/>
              <w:rPr>
                <w:rFonts w:hint="eastAsia" w:ascii="楷体" w:hAnsi="楷体" w:eastAsia="楷体" w:cs="楷体"/>
                <w:sz w:val="21"/>
                <w:szCs w:val="21"/>
              </w:rPr>
            </w:pPr>
            <w:r>
              <w:rPr>
                <w:rFonts w:hint="eastAsia" w:ascii="楷体" w:hAnsi="楷体" w:eastAsia="楷体" w:cs="楷体"/>
                <w:sz w:val="21"/>
                <w:szCs w:val="21"/>
              </w:rPr>
              <w:t>。。。。。。。</w:t>
            </w:r>
          </w:p>
          <w:p>
            <w:pPr>
              <w:spacing w:line="240" w:lineRule="exact"/>
              <w:rPr>
                <w:b/>
                <w:color w:val="000000" w:themeColor="text1"/>
              </w:rPr>
            </w:pPr>
            <w:r>
              <w:rPr>
                <w:rFonts w:hint="eastAsia" w:ascii="楷体" w:hAnsi="楷体" w:eastAsia="楷体" w:cs="楷体"/>
                <w:sz w:val="21"/>
                <w:szCs w:val="21"/>
              </w:rPr>
              <w:t>●风险、机遇识别充分，措施有效。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外壳加工、蓄热体加工、组装、调试等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焊接</w:t>
            </w:r>
            <w:r>
              <w:rPr>
                <w:rFonts w:hint="eastAsia" w:ascii="宋体" w:hAnsi="宋体"/>
                <w:b/>
                <w:color w:val="000000" w:themeColor="text1"/>
                <w:sz w:val="20"/>
                <w:szCs w:val="20"/>
              </w:rPr>
              <w:t xml:space="preserve"> </w:t>
            </w:r>
          </w:p>
          <w:p>
            <w:pPr>
              <w:pStyle w:val="3"/>
              <w:spacing w:line="440" w:lineRule="exact"/>
              <w:rPr>
                <w:rFonts w:hint="eastAsia" w:ascii="楷体" w:hAnsi="楷体" w:eastAsia="楷体" w:cs="楷体"/>
                <w:color w:val="auto"/>
                <w:sz w:val="2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产品依据客户要求、</w:t>
            </w:r>
            <w:r>
              <w:rPr>
                <w:rFonts w:hint="eastAsia" w:ascii="楷体" w:hAnsi="楷体" w:eastAsia="楷体" w:cs="楷体"/>
                <w:b w:val="0"/>
                <w:bCs w:val="0"/>
                <w:color w:val="auto"/>
                <w:sz w:val="21"/>
                <w:szCs w:val="21"/>
                <w:lang w:val="en-US" w:eastAsia="zh-CN"/>
              </w:rPr>
              <w:t>客供图纸、</w:t>
            </w:r>
            <w:r>
              <w:rPr>
                <w:rFonts w:hint="eastAsia" w:ascii="楷体" w:hAnsi="楷体" w:eastAsia="楷体" w:cs="楷体"/>
                <w:b w:val="0"/>
                <w:bCs w:val="0"/>
                <w:color w:val="auto"/>
                <w:sz w:val="21"/>
                <w:szCs w:val="21"/>
              </w:rPr>
              <w:t>国家标准、行业规范生产检验，工艺成熟，技术稳定。企业确保不因删减影响本企业提供满足顾客和适用的法规要求的产品的能力，也不免除本企业相关责任。</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bidi w:val="0"/>
              <w:rPr>
                <w:rFonts w:hint="eastAsia" w:ascii="楷体" w:hAnsi="楷体" w:eastAsia="楷体" w:cs="楷体"/>
                <w:sz w:val="21"/>
                <w:szCs w:val="21"/>
              </w:rPr>
            </w:pPr>
            <w:r>
              <w:rPr>
                <w:rFonts w:hint="eastAsia" w:ascii="楷体" w:hAnsi="楷体" w:eastAsia="楷体" w:cs="楷体"/>
                <w:sz w:val="21"/>
                <w:szCs w:val="21"/>
              </w:rPr>
              <w:t>●公司策划并制定了质量、职业健康安全目标指标，并在相关职能、层次和过程进行分解。</w:t>
            </w:r>
          </w:p>
          <w:p>
            <w:pPr>
              <w:bidi w:val="0"/>
              <w:rPr>
                <w:rFonts w:hint="eastAsia" w:ascii="楷体" w:hAnsi="楷体" w:eastAsia="楷体" w:cs="楷体"/>
                <w:sz w:val="21"/>
                <w:szCs w:val="21"/>
              </w:rPr>
            </w:pPr>
            <w:r>
              <w:rPr>
                <w:rFonts w:hint="eastAsia" w:ascii="楷体" w:hAnsi="楷体" w:eastAsia="楷体" w:cs="楷体"/>
                <w:sz w:val="21"/>
                <w:szCs w:val="21"/>
              </w:rPr>
              <w:t>●公司质量目标：</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产品交验合格率≥98%</w:t>
            </w:r>
            <w:r>
              <w:rPr>
                <w:rFonts w:hint="eastAsia" w:ascii="楷体" w:hAnsi="楷体" w:eastAsia="楷体" w:cs="楷体"/>
                <w:sz w:val="21"/>
                <w:szCs w:val="21"/>
              </w:rPr>
              <w:tab/>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顾客满意度</w:t>
            </w:r>
            <w:r>
              <w:rPr>
                <w:rFonts w:hint="eastAsia" w:ascii="楷体" w:hAnsi="楷体" w:eastAsia="楷体" w:cs="楷体"/>
                <w:sz w:val="21"/>
                <w:szCs w:val="21"/>
              </w:rPr>
              <w:tab/>
            </w:r>
            <w:r>
              <w:rPr>
                <w:rFonts w:hint="eastAsia" w:ascii="楷体" w:hAnsi="楷体" w:eastAsia="楷体" w:cs="楷体"/>
                <w:sz w:val="21"/>
                <w:szCs w:val="21"/>
              </w:rPr>
              <w:t>96%以上</w:t>
            </w:r>
          </w:p>
          <w:p>
            <w:pPr>
              <w:spacing w:line="240" w:lineRule="exact"/>
              <w:rPr>
                <w:rFonts w:ascii="宋体" w:hAnsi="宋体"/>
                <w:b/>
                <w:color w:val="000000" w:themeColor="text1"/>
              </w:rPr>
            </w:pPr>
            <w:r>
              <w:rPr>
                <w:rFonts w:hint="eastAsia" w:ascii="楷体" w:hAnsi="楷体" w:eastAsia="楷体" w:cs="楷体"/>
                <w:sz w:val="21"/>
                <w:szCs w:val="21"/>
                <w:lang w:val="en-US" w:eastAsia="zh-CN"/>
              </w:rPr>
              <w:t>●基本符合标准要求。在方针框架下展开，并分解到各职能部门，</w:t>
            </w:r>
            <w:r>
              <w:rPr>
                <w:rFonts w:hint="eastAsia" w:ascii="楷体" w:hAnsi="楷体" w:eastAsia="楷体" w:cs="楷体"/>
                <w:sz w:val="21"/>
                <w:szCs w:val="21"/>
              </w:rPr>
              <w:t>规定了计算方法及统计周期</w:t>
            </w:r>
            <w:r>
              <w:rPr>
                <w:rFonts w:hint="eastAsia" w:ascii="楷体" w:hAnsi="楷体" w:eastAsia="楷体" w:cs="楷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组织编写，总经理批准发布实施，</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根据管理体系要求设计了空白表格，按照需求发放，由使用人员填写记录并保存，</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bidi w:val="0"/>
              <w:rPr>
                <w:rFonts w:ascii="宋体" w:hAnsi="宋体"/>
                <w:b/>
                <w:color w:val="000000" w:themeColor="text1"/>
                <w:sz w:val="20"/>
                <w:szCs w:val="20"/>
              </w:rPr>
            </w:pPr>
            <w:r>
              <w:rPr>
                <w:rFonts w:hint="eastAsia" w:ascii="楷体" w:hAnsi="楷体" w:eastAsia="楷体" w:cs="楷体"/>
                <w:sz w:val="21"/>
                <w:szCs w:val="21"/>
                <w:lang w:val="en-US" w:eastAsia="zh-CN"/>
              </w:rPr>
              <w:t>人员：</w:t>
            </w:r>
            <w:r>
              <w:rPr>
                <w:rFonts w:hint="eastAsia" w:ascii="楷体" w:hAnsi="楷体" w:eastAsia="楷体" w:cs="楷体"/>
                <w:sz w:val="21"/>
                <w:szCs w:val="21"/>
              </w:rPr>
              <w:t>企业目前主要</w:t>
            </w:r>
            <w:r>
              <w:rPr>
                <w:rFonts w:hint="eastAsia" w:ascii="楷体" w:hAnsi="楷体" w:eastAsia="楷体" w:cs="楷体"/>
                <w:sz w:val="21"/>
                <w:szCs w:val="21"/>
                <w:lang w:val="en-US" w:eastAsia="zh-CN"/>
              </w:rPr>
              <w:t>员工20</w:t>
            </w:r>
            <w:r>
              <w:rPr>
                <w:rFonts w:hint="eastAsia" w:ascii="楷体" w:hAnsi="楷体" w:eastAsia="楷体" w:cs="楷体"/>
                <w:sz w:val="21"/>
                <w:szCs w:val="21"/>
              </w:rPr>
              <w:t>名，包括管理、销售和采购人员、生产和质检人员等</w:t>
            </w:r>
            <w:r>
              <w:rPr>
                <w:rFonts w:hint="eastAsia" w:ascii="楷体" w:hAnsi="楷体" w:eastAsia="楷体" w:cs="楷体"/>
                <w:sz w:val="21"/>
                <w:szCs w:val="21"/>
                <w:lang w:eastAsia="zh-CN"/>
              </w:rPr>
              <w:t>，</w:t>
            </w:r>
            <w:r>
              <w:rPr>
                <w:rFonts w:hint="eastAsia" w:ascii="楷体" w:hAnsi="楷体" w:eastAsia="楷体" w:cs="楷体"/>
                <w:sz w:val="21"/>
                <w:szCs w:val="21"/>
              </w:rPr>
              <w:t>满足产品和服务控制需要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数控激光切割机</w:t>
            </w:r>
            <w:r>
              <w:rPr>
                <w:rFonts w:hint="eastAsia" w:ascii="楷体" w:hAnsi="楷体" w:eastAsia="楷体" w:cs="楷体"/>
                <w:sz w:val="21"/>
                <w:szCs w:val="21"/>
                <w:lang w:eastAsia="zh-CN"/>
              </w:rPr>
              <w:t>、</w:t>
            </w:r>
            <w:r>
              <w:rPr>
                <w:rFonts w:hint="eastAsia" w:ascii="楷体" w:hAnsi="楷体" w:eastAsia="楷体" w:cs="楷体"/>
                <w:sz w:val="21"/>
                <w:szCs w:val="21"/>
              </w:rPr>
              <w:t>光纤激光切割机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压力机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生产线</w:t>
            </w:r>
            <w:r>
              <w:rPr>
                <w:rFonts w:hint="eastAsia" w:ascii="楷体" w:hAnsi="楷体" w:eastAsia="楷体" w:cs="楷体"/>
                <w:sz w:val="21"/>
                <w:szCs w:val="21"/>
                <w:lang w:eastAsia="zh-CN"/>
              </w:rPr>
              <w:t>、</w:t>
            </w:r>
            <w:r>
              <w:rPr>
                <w:rFonts w:hint="eastAsia" w:ascii="楷体" w:hAnsi="楷体" w:eastAsia="楷体" w:cs="楷体"/>
                <w:sz w:val="21"/>
                <w:szCs w:val="21"/>
              </w:rPr>
              <w:t>电加热定型炉</w:t>
            </w:r>
            <w:r>
              <w:rPr>
                <w:rFonts w:hint="eastAsia" w:ascii="楷体" w:hAnsi="楷体" w:eastAsia="楷体" w:cs="楷体"/>
                <w:sz w:val="21"/>
                <w:szCs w:val="21"/>
                <w:lang w:eastAsia="zh-CN"/>
              </w:rPr>
              <w:t>、</w:t>
            </w:r>
            <w:r>
              <w:rPr>
                <w:rFonts w:hint="eastAsia" w:ascii="楷体" w:hAnsi="楷体" w:eastAsia="楷体" w:cs="楷体"/>
                <w:sz w:val="21"/>
                <w:szCs w:val="21"/>
              </w:rPr>
              <w:t>液压机</w:t>
            </w:r>
            <w:r>
              <w:rPr>
                <w:rFonts w:hint="eastAsia" w:ascii="楷体" w:hAnsi="楷体" w:eastAsia="楷体" w:cs="楷体"/>
                <w:sz w:val="21"/>
                <w:szCs w:val="21"/>
                <w:lang w:val="en-US" w:eastAsia="zh-CN"/>
              </w:rPr>
              <w:t xml:space="preserve">等 </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公司有办公</w:t>
            </w:r>
            <w:r>
              <w:rPr>
                <w:rFonts w:hint="eastAsia" w:ascii="楷体" w:hAnsi="楷体" w:eastAsia="楷体" w:cs="楷体"/>
                <w:sz w:val="21"/>
                <w:szCs w:val="21"/>
                <w:lang w:val="en-US" w:eastAsia="zh-CN"/>
              </w:rPr>
              <w:t>楼一座</w:t>
            </w:r>
            <w:r>
              <w:rPr>
                <w:rFonts w:hint="eastAsia" w:ascii="楷体" w:hAnsi="楷体" w:eastAsia="楷体" w:cs="楷体"/>
                <w:sz w:val="21"/>
                <w:szCs w:val="21"/>
              </w:rPr>
              <w:t>、生产车间</w:t>
            </w:r>
            <w:r>
              <w:rPr>
                <w:rFonts w:hint="eastAsia" w:ascii="楷体" w:hAnsi="楷体" w:eastAsia="楷体" w:cs="楷体"/>
                <w:sz w:val="21"/>
                <w:szCs w:val="21"/>
                <w:lang w:val="en-US" w:eastAsia="zh-CN"/>
              </w:rPr>
              <w:t>1处（在用）</w:t>
            </w:r>
            <w:r>
              <w:rPr>
                <w:rFonts w:hint="eastAsia" w:ascii="楷体" w:hAnsi="楷体" w:eastAsia="楷体" w:cs="楷体"/>
                <w:sz w:val="21"/>
                <w:szCs w:val="21"/>
              </w:rPr>
              <w:t>、仓</w:t>
            </w:r>
            <w:r>
              <w:rPr>
                <w:rFonts w:hint="eastAsia" w:ascii="楷体" w:hAnsi="楷体" w:eastAsia="楷体" w:cs="楷体"/>
                <w:sz w:val="21"/>
                <w:szCs w:val="21"/>
                <w:lang w:val="en-US" w:eastAsia="zh-CN"/>
              </w:rPr>
              <w:t>库</w:t>
            </w:r>
            <w:r>
              <w:rPr>
                <w:rFonts w:hint="eastAsia" w:ascii="楷体" w:hAnsi="楷体" w:eastAsia="楷体" w:cs="楷体"/>
                <w:sz w:val="21"/>
                <w:szCs w:val="21"/>
              </w:rPr>
              <w:t>等必要的生产</w:t>
            </w:r>
            <w:r>
              <w:rPr>
                <w:rFonts w:hint="eastAsia" w:ascii="楷体" w:hAnsi="楷体" w:eastAsia="楷体" w:cs="楷体"/>
                <w:sz w:val="21"/>
                <w:szCs w:val="21"/>
                <w:lang w:val="en-US" w:eastAsia="zh-CN"/>
              </w:rPr>
              <w:t>场地</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办公现场环境整洁，秩序良好。</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生产环境无特殊要求。</w:t>
            </w:r>
            <w:r>
              <w:rPr>
                <w:rFonts w:hint="eastAsia" w:ascii="楷体" w:hAnsi="楷体" w:eastAsia="楷体" w:cs="楷体"/>
                <w:sz w:val="21"/>
                <w:szCs w:val="21"/>
                <w:lang w:eastAsia="zh-CN"/>
              </w:rPr>
              <w:t>生产车间</w:t>
            </w:r>
            <w:r>
              <w:rPr>
                <w:rFonts w:hint="eastAsia" w:ascii="楷体" w:hAnsi="楷体" w:eastAsia="楷体" w:cs="楷体"/>
                <w:sz w:val="21"/>
                <w:szCs w:val="21"/>
                <w:lang w:val="en-US" w:eastAsia="zh-CN"/>
              </w:rPr>
              <w:t>面积3000平米，</w:t>
            </w:r>
            <w:r>
              <w:rPr>
                <w:rFonts w:hint="eastAsia" w:ascii="楷体" w:hAnsi="楷体" w:eastAsia="楷体" w:cs="楷体"/>
                <w:sz w:val="21"/>
                <w:szCs w:val="21"/>
                <w:lang w:eastAsia="zh-CN"/>
              </w:rPr>
              <w:t>工序布局合理，场所卫生干净整洁，配有通风设施，工作环境良好</w:t>
            </w:r>
            <w:r>
              <w:rPr>
                <w:rFonts w:hint="eastAsia" w:ascii="楷体" w:hAnsi="楷体" w:eastAsia="楷体" w:cs="楷体"/>
                <w:sz w:val="21"/>
                <w:szCs w:val="21"/>
              </w:rPr>
              <w:t>。</w:t>
            </w:r>
          </w:p>
          <w:p>
            <w:pPr>
              <w:pStyle w:val="12"/>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办公区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生产区</w:t>
            </w:r>
            <w:r>
              <w:rPr>
                <w:rFonts w:hint="eastAsia" w:ascii="楷体" w:hAnsi="楷体" w:eastAsia="楷体" w:cs="楷体"/>
                <w:sz w:val="21"/>
                <w:szCs w:val="21"/>
              </w:rPr>
              <w:t>内有消防器材，有效期内。</w:t>
            </w:r>
          </w:p>
          <w:p>
            <w:pPr>
              <w:spacing w:line="240" w:lineRule="exact"/>
              <w:rPr>
                <w:rFonts w:ascii="宋体" w:hAnsi="宋体"/>
                <w:b/>
                <w:color w:val="000000" w:themeColor="text1"/>
                <w:sz w:val="20"/>
                <w:szCs w:val="20"/>
              </w:rPr>
            </w:pPr>
            <w:r>
              <w:rPr>
                <w:rFonts w:hint="eastAsia" w:ascii="楷体" w:hAnsi="楷体" w:eastAsia="楷体" w:cs="楷体"/>
                <w:sz w:val="21"/>
                <w:szCs w:val="21"/>
              </w:rPr>
              <w:t>●工作环境可满足需要。</w:t>
            </w:r>
            <w:r>
              <w:rPr>
                <w:rFonts w:hint="eastAsia" w:ascii="楷体" w:hAnsi="楷体" w:eastAsia="楷体" w:cs="楷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企业</w:t>
            </w:r>
            <w:r>
              <w:rPr>
                <w:rFonts w:hint="eastAsia" w:ascii="楷体" w:hAnsi="楷体" w:eastAsia="楷体" w:cs="楷体"/>
                <w:sz w:val="21"/>
                <w:szCs w:val="21"/>
              </w:rPr>
              <w:t>配置的监视测量设备</w:t>
            </w:r>
            <w:r>
              <w:rPr>
                <w:rFonts w:hint="eastAsia" w:ascii="楷体" w:hAnsi="楷体" w:eastAsia="楷体" w:cs="楷体"/>
                <w:b w:val="0"/>
                <w:bCs w:val="0"/>
                <w:sz w:val="21"/>
                <w:szCs w:val="21"/>
                <w:lang w:val="en-US" w:eastAsia="zh-CN"/>
              </w:rPr>
              <w:t>游标卡尺、钢直尺、接地电阻测试仪、泄露电流测试仪、钢卷尺、耐压测试仪等</w:t>
            </w:r>
            <w:r>
              <w:rPr>
                <w:rFonts w:hint="eastAsia" w:ascii="楷体" w:hAnsi="楷体" w:eastAsia="楷体" w:cs="楷体"/>
                <w:sz w:val="21"/>
                <w:szCs w:val="21"/>
              </w:rPr>
              <w:t>。基本满足检验需要。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rFonts w:hint="eastAsia" w:ascii="楷体" w:hAnsi="楷体" w:eastAsia="楷体" w:cs="楷体"/>
                <w:sz w:val="21"/>
                <w:szCs w:val="21"/>
              </w:rPr>
            </w:pPr>
            <w:r>
              <w:rPr>
                <w:rFonts w:hint="eastAsia" w:ascii="楷体" w:hAnsi="楷体" w:eastAsia="楷体" w:cs="楷体"/>
                <w:sz w:val="21"/>
                <w:szCs w:val="21"/>
              </w:rPr>
              <w:t>●组织运行所需的知识从内、外部来源获取的有：</w:t>
            </w:r>
          </w:p>
          <w:p>
            <w:pPr>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bidi w:val="0"/>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bidi w:val="0"/>
              <w:rPr>
                <w:rFonts w:hint="eastAsia" w:ascii="楷体" w:hAnsi="楷体" w:eastAsia="楷体" w:cs="楷体"/>
                <w:sz w:val="21"/>
                <w:szCs w:val="21"/>
              </w:rPr>
            </w:pPr>
            <w:r>
              <w:rPr>
                <w:rFonts w:hint="eastAsia" w:ascii="楷体" w:hAnsi="楷体" w:eastAsia="楷体" w:cs="楷体"/>
                <w:sz w:val="21"/>
                <w:szCs w:val="21"/>
              </w:rPr>
              <w:t>●企业策划并制定了质量方针：</w:t>
            </w:r>
          </w:p>
          <w:p>
            <w:pPr>
              <w:bidi w:val="0"/>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科学管理、质量领先、持续改进、顾客满意</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●方针在质量手册中予以规定，经总经理批准实施。</w:t>
            </w:r>
          </w:p>
          <w:p>
            <w:pPr>
              <w:bidi w:val="0"/>
              <w:rPr>
                <w:rFonts w:hint="eastAsia" w:ascii="楷体" w:hAnsi="楷体" w:eastAsia="楷体" w:cs="楷体"/>
                <w:sz w:val="21"/>
                <w:szCs w:val="21"/>
              </w:rPr>
            </w:pP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spacing w:line="300" w:lineRule="exact"/>
              <w:ind w:left="1"/>
              <w:rPr>
                <w:b/>
                <w:color w:val="000000" w:themeColor="text1"/>
                <w:sz w:val="20"/>
                <w:szCs w:val="20"/>
              </w:rPr>
            </w:pPr>
            <w:r>
              <w:rPr>
                <w:rFonts w:hint="eastAsia" w:ascii="楷体" w:hAnsi="楷体" w:eastAsia="楷体" w:cs="楷体"/>
                <w:sz w:val="21"/>
                <w:szCs w:val="21"/>
              </w:rPr>
              <w:t>●质量方针基本适宜。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lang w:val="en-US" w:eastAsia="zh-CN"/>
              </w:rPr>
              <w:t>内</w:t>
            </w: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供销部、</w:t>
            </w:r>
            <w:r>
              <w:rPr>
                <w:rFonts w:hint="eastAsia" w:ascii="楷体" w:hAnsi="楷体" w:eastAsia="楷体" w:cs="楷体"/>
                <w:sz w:val="21"/>
                <w:szCs w:val="21"/>
              </w:rPr>
              <w:t>生产部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技检部</w:t>
            </w:r>
            <w:r>
              <w:rPr>
                <w:rFonts w:hint="eastAsia" w:ascii="楷体" w:hAnsi="楷体" w:eastAsia="楷体" w:cs="楷体"/>
                <w:sz w:val="21"/>
                <w:szCs w:val="21"/>
              </w:rPr>
              <w:t>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lang w:val="en-GB"/>
              </w:rPr>
              <w:sym w:font="Wingdings 2" w:char="F098"/>
            </w:r>
            <w:r>
              <w:rPr>
                <w:rFonts w:hint="eastAsia" w:ascii="楷体" w:hAnsi="楷体" w:eastAsia="楷体" w:cs="楷体"/>
                <w:color w:val="auto"/>
                <w:kern w:val="2"/>
                <w:sz w:val="21"/>
                <w:szCs w:val="21"/>
                <w:lang w:val="en-GB"/>
              </w:rPr>
              <w:t>生产过程控制：</w:t>
            </w:r>
            <w:r>
              <w:rPr>
                <w:rFonts w:hint="eastAsia" w:ascii="楷体" w:hAnsi="楷体" w:eastAsia="楷体" w:cs="楷体"/>
                <w:color w:val="auto"/>
                <w:kern w:val="2"/>
                <w:sz w:val="21"/>
                <w:szCs w:val="21"/>
                <w:lang w:val="en-US" w:eastAsia="zh-CN"/>
              </w:rPr>
              <w:t>下料、机械加工、外协</w:t>
            </w:r>
            <w:r>
              <w:rPr>
                <w:rFonts w:hint="eastAsia" w:ascii="楷体" w:hAnsi="楷体" w:eastAsia="楷体" w:cs="楷体"/>
                <w:color w:val="auto"/>
                <w:kern w:val="2"/>
                <w:sz w:val="21"/>
                <w:szCs w:val="21"/>
                <w:lang w:val="en-GB"/>
              </w:rPr>
              <w:t>、</w:t>
            </w:r>
            <w:r>
              <w:rPr>
                <w:rFonts w:hint="eastAsia" w:ascii="楷体" w:hAnsi="楷体" w:eastAsia="楷体" w:cs="楷体"/>
                <w:color w:val="auto"/>
                <w:kern w:val="2"/>
                <w:sz w:val="21"/>
                <w:szCs w:val="21"/>
                <w:lang w:val="en-US" w:eastAsia="zh-CN"/>
              </w:rPr>
              <w:t>组装、调试、</w:t>
            </w:r>
            <w:r>
              <w:rPr>
                <w:rFonts w:hint="eastAsia" w:ascii="楷体" w:hAnsi="楷体" w:eastAsia="楷体" w:cs="楷体"/>
                <w:color w:val="auto"/>
                <w:kern w:val="2"/>
                <w:sz w:val="21"/>
                <w:szCs w:val="21"/>
                <w:lang w:val="en-GB"/>
              </w:rPr>
              <w:t>检验</w:t>
            </w:r>
            <w:r>
              <w:rPr>
                <w:rFonts w:hint="eastAsia" w:ascii="楷体" w:hAnsi="楷体" w:eastAsia="楷体" w:cs="楷体"/>
                <w:sz w:val="21"/>
                <w:szCs w:val="21"/>
              </w:rPr>
              <w:t>等过程</w:t>
            </w:r>
            <w:r>
              <w:rPr>
                <w:rFonts w:hint="eastAsia" w:ascii="楷体" w:hAnsi="楷体" w:eastAsia="楷体" w:cs="楷体"/>
                <w:color w:val="auto"/>
                <w:kern w:val="2"/>
                <w:sz w:val="21"/>
                <w:szCs w:val="21"/>
                <w:lang w:val="en-GB"/>
              </w:rPr>
              <w:t>；制定了生产</w:t>
            </w:r>
            <w:r>
              <w:rPr>
                <w:rFonts w:hint="eastAsia" w:ascii="楷体" w:hAnsi="楷体" w:eastAsia="楷体" w:cs="楷体"/>
                <w:color w:val="auto"/>
                <w:kern w:val="2"/>
                <w:sz w:val="21"/>
                <w:szCs w:val="21"/>
              </w:rPr>
              <w:t>设备管理制度、设备操作规程、作业指导书、成品检验规范等管理技术文件。</w:t>
            </w:r>
          </w:p>
          <w:p>
            <w:pPr>
              <w:bidi w:val="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配备了数控激光切割机</w:t>
            </w:r>
            <w:r>
              <w:rPr>
                <w:rFonts w:hint="eastAsia" w:ascii="楷体" w:hAnsi="楷体" w:eastAsia="楷体" w:cs="楷体"/>
                <w:sz w:val="21"/>
                <w:szCs w:val="21"/>
                <w:lang w:eastAsia="zh-CN"/>
              </w:rPr>
              <w:t>、</w:t>
            </w:r>
            <w:r>
              <w:rPr>
                <w:rFonts w:hint="eastAsia" w:ascii="楷体" w:hAnsi="楷体" w:eastAsia="楷体" w:cs="楷体"/>
                <w:sz w:val="21"/>
                <w:szCs w:val="21"/>
              </w:rPr>
              <w:t>光纤激光切割机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压力机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生产线</w:t>
            </w:r>
            <w:r>
              <w:rPr>
                <w:rFonts w:hint="eastAsia" w:ascii="楷体" w:hAnsi="楷体" w:eastAsia="楷体" w:cs="楷体"/>
                <w:sz w:val="21"/>
                <w:szCs w:val="21"/>
                <w:lang w:eastAsia="zh-CN"/>
              </w:rPr>
              <w:t>、</w:t>
            </w:r>
            <w:r>
              <w:rPr>
                <w:rFonts w:hint="eastAsia" w:ascii="楷体" w:hAnsi="楷体" w:eastAsia="楷体" w:cs="楷体"/>
                <w:sz w:val="21"/>
                <w:szCs w:val="21"/>
              </w:rPr>
              <w:t>电加热定型炉</w:t>
            </w:r>
            <w:r>
              <w:rPr>
                <w:rFonts w:hint="eastAsia" w:ascii="楷体" w:hAnsi="楷体" w:eastAsia="楷体" w:cs="楷体"/>
                <w:sz w:val="21"/>
                <w:szCs w:val="21"/>
                <w:lang w:eastAsia="zh-CN"/>
              </w:rPr>
              <w:t>、</w:t>
            </w:r>
            <w:r>
              <w:rPr>
                <w:rFonts w:hint="eastAsia" w:ascii="楷体" w:hAnsi="楷体" w:eastAsia="楷体" w:cs="楷体"/>
                <w:sz w:val="21"/>
                <w:szCs w:val="21"/>
              </w:rPr>
              <w:t>液压机</w:t>
            </w:r>
            <w:r>
              <w:rPr>
                <w:rFonts w:hint="eastAsia" w:ascii="楷体" w:hAnsi="楷体" w:eastAsia="楷体" w:cs="楷体"/>
                <w:sz w:val="21"/>
                <w:szCs w:val="21"/>
                <w:lang w:val="en-US" w:eastAsia="zh-CN"/>
              </w:rPr>
              <w:t xml:space="preserve">等 </w:t>
            </w:r>
            <w:r>
              <w:rPr>
                <w:rFonts w:hint="eastAsia" w:ascii="楷体" w:hAnsi="楷体" w:eastAsia="楷体" w:cs="楷体"/>
                <w:color w:val="auto"/>
                <w:sz w:val="21"/>
                <w:szCs w:val="21"/>
              </w:rPr>
              <w:t>，满足生产需求。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w:t>
            </w:r>
            <w:r>
              <w:rPr>
                <w:rFonts w:hint="eastAsia" w:ascii="楷体" w:hAnsi="楷体" w:eastAsia="楷体" w:cs="楷体"/>
                <w:sz w:val="21"/>
                <w:szCs w:val="21"/>
                <w:lang w:val="en-US" w:eastAsia="zh-CN"/>
              </w:rPr>
              <w:t>游标卡尺、钢直尺、接地电阻测试仪、泄露电流测试仪、钢卷尺、耐压测试仪等</w:t>
            </w:r>
            <w:r>
              <w:rPr>
                <w:rFonts w:hint="eastAsia" w:ascii="楷体" w:hAnsi="楷体" w:eastAsia="楷体" w:cs="楷体"/>
                <w:sz w:val="21"/>
                <w:szCs w:val="21"/>
              </w:rPr>
              <w:t>，满足检验需求。</w:t>
            </w:r>
          </w:p>
          <w:p>
            <w:pPr>
              <w:pStyle w:val="18"/>
              <w:autoSpaceDE/>
              <w:autoSpaceDN/>
              <w:adjustRightInd/>
              <w:spacing w:line="340" w:lineRule="exact"/>
              <w:rPr>
                <w:rFonts w:hint="eastAsia" w:ascii="楷体" w:hAnsi="楷体" w:eastAsia="楷体" w:cs="楷体"/>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lang w:val="en-GB"/>
              </w:rPr>
              <w:t>产品检验：分为原材料、半成品及成品检验，原材料采取进货验证，半成品采取随工序检验，产品采取抽检。</w:t>
            </w:r>
          </w:p>
          <w:p>
            <w:pPr>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lang w:val="en-GB"/>
              </w:rPr>
              <w:t>产品销售过程：</w:t>
            </w:r>
            <w:r>
              <w:rPr>
                <w:rFonts w:hint="eastAsia" w:ascii="楷体" w:hAnsi="楷体" w:eastAsia="楷体" w:cs="楷体"/>
                <w:sz w:val="21"/>
                <w:szCs w:val="21"/>
              </w:rPr>
              <w:t>公司主要产品为储热式电采暖器、固体储热常压电锅炉的生产，且按照国家、行业相关标准、顾客提供的技术资料、图</w:t>
            </w:r>
            <w:r>
              <w:rPr>
                <w:rFonts w:hint="eastAsia" w:ascii="楷体" w:hAnsi="楷体" w:eastAsia="楷体" w:cs="楷体"/>
                <w:sz w:val="21"/>
                <w:szCs w:val="21"/>
                <w:lang w:val="en-US" w:eastAsia="zh-CN"/>
              </w:rPr>
              <w:t>纸</w:t>
            </w:r>
            <w:r>
              <w:rPr>
                <w:rFonts w:hint="eastAsia" w:ascii="楷体" w:hAnsi="楷体" w:eastAsia="楷体" w:cs="楷体"/>
                <w:sz w:val="21"/>
                <w:szCs w:val="21"/>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rPr>
              <w:t>该公司目前经识别的特殊过程：</w:t>
            </w:r>
            <w:r>
              <w:rPr>
                <w:rFonts w:hint="eastAsia" w:ascii="楷体" w:hAnsi="楷体" w:eastAsia="楷体" w:cs="楷体"/>
                <w:sz w:val="21"/>
                <w:szCs w:val="21"/>
                <w:lang w:val="en-US" w:eastAsia="zh-CN"/>
              </w:rPr>
              <w:t>焊接</w:t>
            </w:r>
            <w:r>
              <w:rPr>
                <w:rFonts w:hint="eastAsia" w:ascii="楷体" w:hAnsi="楷体" w:eastAsia="楷体" w:cs="楷体"/>
                <w:sz w:val="21"/>
                <w:szCs w:val="21"/>
              </w:rPr>
              <w:t>。</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rPr>
              <w:t>外包过程：。</w:t>
            </w:r>
          </w:p>
          <w:p>
            <w:pPr>
              <w:pStyle w:val="18"/>
              <w:spacing w:line="276" w:lineRule="auto"/>
              <w:jc w:val="both"/>
              <w:rPr>
                <w:rFonts w:hint="eastAsia" w:ascii="楷体" w:hAnsi="楷体" w:eastAsia="楷体" w:cs="楷体"/>
                <w:sz w:val="21"/>
                <w:szCs w:val="21"/>
                <w:lang w:val="en-US" w:eastAsia="zh-CN"/>
              </w:rPr>
            </w:pPr>
            <w:r>
              <w:rPr>
                <w:rFonts w:hint="eastAsia" w:ascii="楷体" w:hAnsi="楷体" w:eastAsia="楷体" w:cs="楷体"/>
                <w:sz w:val="21"/>
                <w:szCs w:val="21"/>
              </w:rPr>
              <w:t>关键过程：</w:t>
            </w:r>
            <w:r>
              <w:rPr>
                <w:rFonts w:hint="eastAsia" w:ascii="楷体" w:hAnsi="楷体" w:eastAsia="楷体" w:cs="楷体"/>
                <w:sz w:val="21"/>
                <w:szCs w:val="21"/>
                <w:lang w:val="en-US" w:eastAsia="zh-CN"/>
              </w:rPr>
              <w:t>喷涂</w:t>
            </w:r>
          </w:p>
          <w:p>
            <w:pPr>
              <w:spacing w:line="240" w:lineRule="exact"/>
              <w:rPr>
                <w:b/>
                <w:color w:val="000000" w:themeColor="text1"/>
                <w:sz w:val="20"/>
                <w:szCs w:val="20"/>
              </w:rPr>
            </w:pPr>
            <w:r>
              <w:rPr>
                <w:rFonts w:hint="eastAsia" w:ascii="楷体" w:hAnsi="楷体" w:eastAsia="楷体" w:cs="楷体"/>
                <w:sz w:val="21"/>
                <w:szCs w:val="21"/>
              </w:rPr>
              <w:sym w:font="Wingdings 2" w:char="F098"/>
            </w:r>
            <w:r>
              <w:rPr>
                <w:rFonts w:hint="eastAsia" w:ascii="楷体" w:hAnsi="楷体" w:eastAsia="楷体" w:cs="楷体"/>
                <w:sz w:val="21"/>
                <w:szCs w:val="21"/>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r>
              <w:rPr>
                <w:rFonts w:hint="eastAsia" w:ascii="楷体" w:hAnsi="楷体" w:eastAsia="楷体" w:cs="楷体"/>
                <w:b w:val="0"/>
                <w:bCs w:val="0"/>
                <w:sz w:val="21"/>
                <w:szCs w:val="21"/>
                <w:lang w:val="en-US" w:eastAsia="zh-CN"/>
              </w:rPr>
              <w:t>企业根据合同要求、</w:t>
            </w:r>
            <w:r>
              <w:rPr>
                <w:rFonts w:hint="eastAsia" w:ascii="楷体" w:hAnsi="楷体" w:eastAsia="楷体" w:cs="楷体"/>
                <w:b w:val="0"/>
                <w:bCs w:val="0"/>
                <w:sz w:val="21"/>
                <w:szCs w:val="21"/>
              </w:rPr>
              <w:t xml:space="preserve">《采暖散热器散热量测定方法》GB/T 13754-2008 </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《电加热锅炉技术条件》</w:t>
            </w:r>
            <w:r>
              <w:rPr>
                <w:rFonts w:hint="eastAsia" w:ascii="楷体" w:hAnsi="楷体" w:eastAsia="楷体" w:cs="楷体"/>
                <w:b w:val="0"/>
                <w:bCs w:val="0"/>
                <w:sz w:val="21"/>
                <w:szCs w:val="21"/>
              </w:rPr>
              <w:tab/>
            </w:r>
            <w:r>
              <w:rPr>
                <w:rFonts w:hint="eastAsia" w:ascii="楷体" w:hAnsi="楷体" w:eastAsia="楷体" w:cs="楷体"/>
                <w:b w:val="0"/>
                <w:bCs w:val="0"/>
                <w:sz w:val="21"/>
                <w:szCs w:val="21"/>
              </w:rPr>
              <w:t>JB/T 10393-2002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《家用和类似用途电器的安全  通用要求》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GB4706.1-2005</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《家用和类似用途电器的安全  贮热式房间加热器的特殊要求》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GB4706.44-2005等标准、规范的相关内容进行生产。</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目前提供给客户的产品均合格</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企业提供了第三方检验报告</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抽1</w:t>
            </w:r>
          </w:p>
          <w:p>
            <w:pPr>
              <w:pStyle w:val="2"/>
              <w:numPr>
                <w:ilvl w:val="0"/>
                <w:numId w:val="4"/>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产品名称：固体电蓄热设备</w:t>
            </w:r>
          </w:p>
          <w:p>
            <w:pPr>
              <w:pStyle w:val="2"/>
              <w:numPr>
                <w:ilvl w:val="0"/>
                <w:numId w:val="4"/>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检验日期：2020.7.1</w:t>
            </w:r>
          </w:p>
          <w:p>
            <w:pPr>
              <w:pStyle w:val="2"/>
              <w:numPr>
                <w:ilvl w:val="0"/>
                <w:numId w:val="4"/>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检测单位：河北质量监督检验研究院，</w:t>
            </w:r>
          </w:p>
          <w:p>
            <w:pPr>
              <w:pStyle w:val="2"/>
              <w:numPr>
                <w:ilvl w:val="0"/>
                <w:numId w:val="4"/>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报告编号：SY2009763</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抽2</w:t>
            </w:r>
          </w:p>
          <w:p>
            <w:pPr>
              <w:pStyle w:val="2"/>
              <w:numPr>
                <w:ilvl w:val="0"/>
                <w:numId w:val="4"/>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产品名称：储热式电暖器</w:t>
            </w:r>
          </w:p>
          <w:p>
            <w:pPr>
              <w:pStyle w:val="2"/>
              <w:numPr>
                <w:ilvl w:val="0"/>
                <w:numId w:val="4"/>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检验日期：2019.6.14</w:t>
            </w:r>
          </w:p>
          <w:p>
            <w:pPr>
              <w:pStyle w:val="2"/>
              <w:numPr>
                <w:ilvl w:val="0"/>
                <w:numId w:val="4"/>
              </w:numPr>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检测单位：河北质量监督检验研究院，</w:t>
            </w:r>
          </w:p>
          <w:p>
            <w:pPr>
              <w:pStyle w:val="2"/>
              <w:numPr>
                <w:ilvl w:val="0"/>
                <w:numId w:val="0"/>
              </w:numPr>
              <w:ind w:left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报告编号：SY1906072</w:t>
            </w:r>
          </w:p>
          <w:p>
            <w:pPr>
              <w:spacing w:line="240" w:lineRule="exact"/>
              <w:ind w:firstLine="210" w:firstLineChars="100"/>
              <w:rPr>
                <w:b/>
                <w:color w:val="000000" w:themeColor="text1"/>
                <w:sz w:val="20"/>
                <w:szCs w:val="20"/>
              </w:rPr>
            </w:pPr>
            <w:r>
              <w:rPr>
                <w:rFonts w:hint="eastAsia" w:ascii="楷体" w:hAnsi="楷体" w:eastAsia="楷体" w:cs="楷体"/>
                <w:color w:val="auto"/>
                <w:sz w:val="21"/>
                <w:szCs w:val="21"/>
                <w:u w:val="none"/>
                <w:lang w:val="en-US" w:eastAsia="zh-CN"/>
              </w:rPr>
              <w:t>其余内容详见扫描件</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楷体" w:hAnsi="楷体" w:eastAsia="楷体" w:cs="楷体"/>
                <w:sz w:val="21"/>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b/>
                <w:color w:val="000000" w:themeColor="text1"/>
                <w:sz w:val="20"/>
                <w:szCs w:val="20"/>
                <w:lang w:val="en-US" w:eastAsia="zh-CN"/>
              </w:rPr>
            </w:pPr>
            <w:r>
              <w:rPr>
                <w:rStyle w:val="11"/>
                <w:rFonts w:hint="eastAsia" w:ascii="楷体" w:hAnsi="楷体" w:eastAsia="楷体" w:cs="楷体"/>
                <w:color w:val="auto"/>
                <w:sz w:val="21"/>
                <w:szCs w:val="21"/>
                <w:u w:val="none"/>
                <w:lang w:val="en-US" w:eastAsia="zh-CN"/>
              </w:rPr>
              <w:t>企业所用天车、叉车均已委托检验并通过，详见扫描件</w:t>
            </w:r>
          </w:p>
          <w:p>
            <w:pPr>
              <w:pStyle w:val="2"/>
              <w:rPr>
                <w:rFonts w:hint="default"/>
                <w:lang w:val="en-US" w:eastAsia="zh-CN"/>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楷体" w:hAnsi="楷体" w:eastAsia="楷体" w:cs="楷体"/>
                <w:sz w:val="21"/>
                <w:szCs w:val="21"/>
              </w:rPr>
              <w:t>提供了文件化可分解的目标、指标，经查问分解到各部门，经查阅建立的管理目标符合标准要求，在方针的框架下展开，每季度考核一次，查看2020年度</w:t>
            </w:r>
            <w:r>
              <w:rPr>
                <w:rFonts w:hint="eastAsia" w:ascii="楷体" w:hAnsi="楷体" w:eastAsia="楷体" w:cs="楷体"/>
                <w:sz w:val="21"/>
                <w:szCs w:val="21"/>
                <w:lang w:val="en-US" w:eastAsia="zh-CN"/>
              </w:rPr>
              <w:t>及2021年1季度</w:t>
            </w:r>
            <w:r>
              <w:rPr>
                <w:rFonts w:hint="eastAsia" w:ascii="楷体" w:hAnsi="楷体" w:eastAsia="楷体" w:cs="楷体"/>
                <w:sz w:val="21"/>
                <w:szCs w:val="21"/>
              </w:rPr>
              <w:t>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楷体" w:hAnsi="楷体" w:eastAsia="楷体" w:cs="楷体"/>
                <w:sz w:val="21"/>
                <w:szCs w:val="21"/>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cs="楷体"/>
                <w:sz w:val="21"/>
                <w:szCs w:val="21"/>
              </w:rPr>
              <w:t>质量、价格、性能、服务等方面的满意程度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提供顾客满意调查分析。最终顾客满意率</w:t>
            </w:r>
            <w:r>
              <w:rPr>
                <w:rFonts w:hint="eastAsia" w:ascii="楷体" w:hAnsi="楷体" w:eastAsia="楷体" w:cs="楷体"/>
                <w:sz w:val="21"/>
                <w:szCs w:val="21"/>
                <w:lang w:val="en-US" w:eastAsia="zh-CN"/>
              </w:rPr>
              <w:t>98</w:t>
            </w:r>
            <w:r>
              <w:rPr>
                <w:rFonts w:hint="eastAsia" w:ascii="楷体" w:hAnsi="楷体" w:eastAsia="楷体" w:cs="楷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按照策划的安排于 202</w:t>
            </w:r>
            <w:r>
              <w:rPr>
                <w:rFonts w:hint="eastAsia" w:ascii="楷体" w:hAnsi="楷体" w:eastAsia="楷体" w:cs="楷体"/>
                <w:color w:val="000000" w:themeColor="text1"/>
                <w:spacing w:val="-8"/>
                <w:sz w:val="21"/>
                <w:szCs w:val="21"/>
                <w:lang w:val="en-US" w:eastAsia="zh-CN"/>
              </w:rPr>
              <w:t>1</w:t>
            </w:r>
            <w:r>
              <w:rPr>
                <w:rFonts w:hint="eastAsia" w:ascii="楷体" w:hAnsi="楷体" w:eastAsia="楷体" w:cs="楷体"/>
                <w:color w:val="000000" w:themeColor="text1"/>
                <w:spacing w:val="-8"/>
                <w:sz w:val="21"/>
                <w:szCs w:val="21"/>
              </w:rPr>
              <w:t xml:space="preserve"> 年 </w:t>
            </w:r>
            <w:r>
              <w:rPr>
                <w:rFonts w:hint="eastAsia" w:ascii="楷体" w:hAnsi="楷体" w:eastAsia="楷体" w:cs="楷体"/>
                <w:color w:val="000000" w:themeColor="text1"/>
                <w:spacing w:val="-8"/>
                <w:sz w:val="21"/>
                <w:szCs w:val="21"/>
                <w:lang w:val="en-US" w:eastAsia="zh-CN"/>
              </w:rPr>
              <w:t>1</w:t>
            </w:r>
            <w:r>
              <w:rPr>
                <w:rFonts w:hint="eastAsia" w:ascii="楷体" w:hAnsi="楷体" w:eastAsia="楷体" w:cs="楷体"/>
                <w:color w:val="000000" w:themeColor="text1"/>
                <w:spacing w:val="-8"/>
                <w:sz w:val="21"/>
                <w:szCs w:val="21"/>
              </w:rPr>
              <w:t xml:space="preserve">月 </w:t>
            </w:r>
            <w:r>
              <w:rPr>
                <w:rFonts w:hint="eastAsia" w:ascii="楷体" w:hAnsi="楷体" w:eastAsia="楷体" w:cs="楷体"/>
                <w:color w:val="000000" w:themeColor="text1"/>
                <w:spacing w:val="-8"/>
                <w:sz w:val="21"/>
                <w:szCs w:val="21"/>
                <w:lang w:val="en-US" w:eastAsia="zh-CN"/>
              </w:rPr>
              <w:t>10-11</w:t>
            </w:r>
            <w:r>
              <w:rPr>
                <w:rFonts w:hint="eastAsia" w:ascii="楷体" w:hAnsi="楷体" w:eastAsia="楷体" w:cs="楷体"/>
                <w:color w:val="000000" w:themeColor="text1"/>
                <w:spacing w:val="-8"/>
                <w:sz w:val="21"/>
                <w:szCs w:val="21"/>
              </w:rPr>
              <w:t>日进行了一次集中式的内部审核，经查阅资料及与管代沟通，内审 员没有审核自己的工作，查阅内审记录，符合策划安排，提出 1项不符合，</w:t>
            </w:r>
            <w:r>
              <w:rPr>
                <w:rFonts w:hint="eastAsia" w:ascii="楷体" w:hAnsi="楷体" w:eastAsia="楷体" w:cs="楷体"/>
                <w:color w:val="000000" w:themeColor="text1"/>
                <w:spacing w:val="-8"/>
                <w:sz w:val="21"/>
                <w:szCs w:val="21"/>
                <w:lang w:val="en-US" w:eastAsia="zh-CN"/>
              </w:rPr>
              <w:t xml:space="preserve"> </w:t>
            </w:r>
            <w:r>
              <w:rPr>
                <w:rFonts w:hint="eastAsia" w:ascii="楷体" w:hAnsi="楷体" w:eastAsia="楷体" w:cs="楷体"/>
                <w:color w:val="000000" w:themeColor="text1"/>
                <w:spacing w:val="-8"/>
                <w:sz w:val="21"/>
                <w:szCs w:val="21"/>
              </w:rPr>
              <w:t>责任部门进行了分析原因、 采取纠正/纠正措施并验证了有效性，内审报告中对管理体系的符合性、充分性和运行有效性进行了评价。</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 xml:space="preserve"> 内审符合要求。</w:t>
            </w:r>
          </w:p>
          <w:p>
            <w:pPr>
              <w:spacing w:line="240" w:lineRule="exact"/>
              <w:rPr>
                <w:rFonts w:hint="eastAsia" w:ascii="楷体" w:hAnsi="楷体" w:eastAsia="楷体" w:cs="楷体"/>
                <w:b/>
                <w:color w:val="000000" w:themeColor="text1"/>
                <w:spacing w:val="-8"/>
                <w:sz w:val="21"/>
                <w:szCs w:val="21"/>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s="楷体"/>
                <w:color w:val="000000" w:themeColor="text1"/>
                <w:sz w:val="21"/>
                <w:szCs w:val="21"/>
              </w:rPr>
              <w:t>按照策划的安排于 202</w:t>
            </w: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 xml:space="preserve"> 年 </w:t>
            </w: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 xml:space="preserve">月 </w:t>
            </w:r>
            <w:r>
              <w:rPr>
                <w:rFonts w:hint="eastAsia" w:ascii="楷体" w:hAnsi="楷体" w:eastAsia="楷体" w:cs="楷体"/>
                <w:color w:val="000000" w:themeColor="text1"/>
                <w:sz w:val="21"/>
                <w:szCs w:val="21"/>
                <w:lang w:val="en-US" w:eastAsia="zh-CN"/>
              </w:rPr>
              <w:t>16</w:t>
            </w:r>
            <w:r>
              <w:rPr>
                <w:rFonts w:hint="eastAsia" w:ascii="楷体" w:hAnsi="楷体" w:eastAsia="楷体" w:cs="楷体"/>
                <w:color w:val="000000" w:themeColor="text1"/>
                <w:sz w:val="2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color w:val="000000" w:themeColor="text1"/>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办公室</w:t>
      </w:r>
      <w:r>
        <w:rPr>
          <w:rFonts w:hint="eastAsia"/>
          <w:b/>
          <w:color w:val="000000" w:themeColor="text1"/>
        </w:rPr>
        <w:t>部门</w:t>
      </w:r>
      <w:r>
        <w:rPr>
          <w:rFonts w:hint="eastAsia"/>
          <w:b/>
          <w:color w:val="000000" w:themeColor="text1"/>
          <w:lang w:val="en-US" w:eastAsia="zh-CN"/>
        </w:rPr>
        <w:t>7.3、7.5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根据审核发现，审核组一致认为，</w:t>
            </w:r>
            <w:r>
              <w:rPr>
                <w:rFonts w:hint="eastAsia" w:ascii="楷体" w:hAnsi="楷体" w:eastAsia="楷体" w:cs="楷体"/>
                <w:color w:val="000000"/>
                <w:sz w:val="21"/>
                <w:szCs w:val="21"/>
              </w:rPr>
              <w:t>石家庄华安热能科技有限公司</w:t>
            </w:r>
            <w:r>
              <w:rPr>
                <w:rFonts w:hint="eastAsia" w:ascii="楷体" w:hAnsi="楷体" w:eastAsia="楷体" w:cs="楷体"/>
                <w:color w:val="000000" w:themeColor="text1"/>
                <w:sz w:val="21"/>
                <w:szCs w:val="21"/>
              </w:rPr>
              <w:t xml:space="preserve">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■质量□环境□职业健康安全□食品安全 管理体系： </w:t>
            </w:r>
          </w:p>
          <w:p>
            <w:pPr>
              <w:spacing w:line="240" w:lineRule="exact"/>
              <w:ind w:firstLine="840" w:firstLineChars="4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审核准则的要求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■符合 □不符合 适用要求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■满足 □不满足 实现预期结果的能力</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■满足 □不满足 内部审核和管理评审过程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■有效 □无效 审核目的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■达到 □未达到 体系运行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sz w:val="22"/>
          <w:szCs w:val="22"/>
        </w:rPr>
        <w:drawing>
          <wp:anchor distT="0" distB="0" distL="114300" distR="114300" simplePos="0" relativeHeight="251662336" behindDoc="0" locked="0" layoutInCell="1" allowOverlap="1">
            <wp:simplePos x="0" y="0"/>
            <wp:positionH relativeFrom="column">
              <wp:posOffset>1713865</wp:posOffset>
            </wp:positionH>
            <wp:positionV relativeFrom="paragraph">
              <wp:posOffset>362585</wp:posOffset>
            </wp:positionV>
            <wp:extent cx="693420" cy="220980"/>
            <wp:effectExtent l="0" t="0" r="508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93420" cy="22098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1312" behindDoc="0" locked="0" layoutInCell="1" allowOverlap="1">
            <wp:simplePos x="0" y="0"/>
            <wp:positionH relativeFrom="column">
              <wp:posOffset>1522730</wp:posOffset>
            </wp:positionH>
            <wp:positionV relativeFrom="paragraph">
              <wp:posOffset>139065</wp:posOffset>
            </wp:positionV>
            <wp:extent cx="1219200" cy="4826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219200" cy="48260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sz w:val="22"/>
          <w:szCs w:val="22"/>
        </w:rPr>
        <w:drawing>
          <wp:anchor distT="0" distB="0" distL="114300" distR="114300" simplePos="0" relativeHeight="251663360" behindDoc="0" locked="0" layoutInCell="1" allowOverlap="1">
            <wp:simplePos x="0" y="0"/>
            <wp:positionH relativeFrom="column">
              <wp:posOffset>1002665</wp:posOffset>
            </wp:positionH>
            <wp:positionV relativeFrom="paragraph">
              <wp:posOffset>118110</wp:posOffset>
            </wp:positionV>
            <wp:extent cx="693420" cy="220980"/>
            <wp:effectExtent l="0" t="0" r="508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693420" cy="22098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26</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0ADB1"/>
    <w:multiLevelType w:val="singleLevel"/>
    <w:tmpl w:val="8AD0ADB1"/>
    <w:lvl w:ilvl="0" w:tentative="0">
      <w:start w:val="1"/>
      <w:numFmt w:val="decimal"/>
      <w:suff w:val="nothing"/>
      <w:lvlText w:val="%1、"/>
      <w:lvlJc w:val="left"/>
    </w:lvl>
  </w:abstractNum>
  <w:abstractNum w:abstractNumId="1">
    <w:nsid w:val="02317B86"/>
    <w:multiLevelType w:val="singleLevel"/>
    <w:tmpl w:val="02317B8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DA4751"/>
    <w:rsid w:val="30C70083"/>
    <w:rsid w:val="44257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ody Text"/>
    <w:basedOn w:val="1"/>
    <w:qFormat/>
    <w:uiPriority w:val="0"/>
    <w:pPr>
      <w:spacing w:after="120"/>
    </w:pPr>
    <w:rPr>
      <w:szCs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2021-05-29T07:17:41Z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89603089A14F4813AAC519FE2975EDBD</vt:lpwstr>
  </property>
</Properties>
</file>