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河北报业传媒集团印务有限公司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Q：09.01.02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5" w:name="_GoBack"/>
            <w:r>
              <w:rPr>
                <w:rFonts w:hint="eastAsia"/>
                <w:b/>
                <w:sz w:val="20"/>
                <w:lang w:val="en-US" w:eastAsia="zh-CN"/>
              </w:rPr>
              <w:t>接收项目—版面设计—客户确认--制版—上机印刷—印后加工（剪切、折页、装订）—成品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楷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生产任务未及时完成，质量问题，生产过程的控制没有按相关程序，操作工没按要求操作等，合理安排生产、严格执行检验程序及生产程序，按操作规程操作，需确认过程：制版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 xml:space="preserve">作业指导书，客户确认等方式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废气排放、废水排放、噪声排放、固废排放、潜在火灾的发生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环境保护法、安全生产法、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GB/T 14705-1993 《报纸印刷品质量要求及检验方法》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GB/T17934.3-2003《新闻纸的冷固型油墨胶印》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检验项目：套准误差、色度、外观要求等，无型式检验要求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2021.5.20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2021.5.20</w:t>
      </w: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17263"/>
    <w:rsid w:val="3AF84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2021-05-24T02:09:50Z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6E0439F2BB00466D8FC9D511B4053DEF</vt:lpwstr>
  </property>
</Properties>
</file>