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0484-2021-QEO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四川莱高物业管理有限公司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Q:35.15.00</w:t>
            </w:r>
          </w:p>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w:t>
      </w:r>
      <w:r>
        <w:rPr>
          <w:rFonts w:ascii="宋体" w:hAnsi="宋体"/>
          <w:b/>
          <w:color w:val="000000"/>
          <w:sz w:val="20"/>
          <w:szCs w:val="20"/>
          <w:lang w:val="de-DE"/>
        </w:rPr>
        <w:t>-20</w:t>
      </w:r>
      <w:r>
        <w:rPr>
          <w:rFonts w:hint="eastAsia" w:ascii="宋体" w:hAnsi="宋体"/>
          <w:b/>
          <w:color w:val="000000"/>
          <w:sz w:val="20"/>
          <w:szCs w:val="20"/>
          <w:lang w:val="en-US" w:eastAsia="zh-CN"/>
        </w:rPr>
        <w:t>18</w:t>
      </w:r>
      <w:r>
        <w:rPr>
          <w:rFonts w:ascii="宋体" w:hAnsi="宋体"/>
          <w:b/>
          <w:color w:val="000000"/>
          <w:sz w:val="20"/>
          <w:szCs w:val="20"/>
          <w:lang w:val="de-DE"/>
        </w:rPr>
        <w:t xml:space="preserve"> </w:t>
      </w:r>
      <w:r>
        <w:rPr>
          <w:rFonts w:hint="eastAsia" w:ascii="黑体" w:hAnsi="黑体" w:eastAsia="黑体" w:cs="黑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黑体" w:hAnsi="黑体" w:eastAsia="黑体" w:cs="黑体"/>
          <w:b/>
          <w:color w:val="000000"/>
          <w:spacing w:val="-10"/>
          <w:sz w:val="20"/>
          <w:szCs w:val="20"/>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黑体" w:hAnsi="黑体" w:eastAsia="黑体" w:cs="黑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四川莱高物业管理有限公司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四川省成都市武侯区聚龙路970号1栋1单元5楼553号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610041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四川省成都市武侯区聚龙路970号1栋1单元5楼553号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610041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手机"/>
            <w:r>
              <w:t>13</w:t>
            </w:r>
            <w:bookmarkEnd w:id="17"/>
            <w:r>
              <w:rPr>
                <w:rFonts w:hint="eastAsia"/>
                <w:lang w:val="en-US" w:eastAsia="zh-CN"/>
              </w:rPr>
              <w:t>348816816</w:t>
            </w:r>
            <w:bookmarkStart w:id="24" w:name="_GoBack"/>
            <w:bookmarkEnd w:id="2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陈琳玲</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3400458326@qq.com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Q：物业管理服务</w:t>
            </w:r>
          </w:p>
          <w:p>
            <w:pPr>
              <w:spacing w:line="400" w:lineRule="exact"/>
              <w:rPr>
                <w:rFonts w:ascii="宋体" w:hAnsi="宋体"/>
                <w:b/>
                <w:color w:val="000000"/>
                <w:sz w:val="20"/>
                <w:szCs w:val="20"/>
              </w:rPr>
            </w:pPr>
            <w:r>
              <w:rPr>
                <w:rFonts w:ascii="宋体" w:hAnsi="宋体"/>
                <w:b/>
                <w:color w:val="000000"/>
                <w:sz w:val="20"/>
                <w:szCs w:val="20"/>
              </w:rPr>
              <w:t>E：物业管理服务所涉及场所的相关环境管理活动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O：物业管理服务所涉及场所的相关职业健康安全管理活动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Q：35.15.00</w:t>
            </w:r>
          </w:p>
          <w:p>
            <w:pPr>
              <w:spacing w:line="280" w:lineRule="exact"/>
              <w:rPr>
                <w:rFonts w:ascii="宋体"/>
                <w:b/>
                <w:color w:val="000000"/>
                <w:sz w:val="20"/>
                <w:szCs w:val="20"/>
              </w:rPr>
            </w:pPr>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85" w:firstLineChars="148"/>
        <w:rPr>
          <w:rFonts w:ascii="宋体"/>
          <w:b/>
          <w:color w:val="000000"/>
          <w:spacing w:val="-4"/>
          <w:sz w:val="20"/>
          <w:szCs w:val="20"/>
        </w:rPr>
      </w:pPr>
      <w:r>
        <w:rPr>
          <w:rFonts w:hint="eastAsia" w:ascii="黑体" w:hAnsi="黑体" w:eastAsia="黑体" w:cs="黑体"/>
          <w:b/>
          <w:color w:val="000000"/>
          <w:spacing w:val="-4"/>
          <w:sz w:val="20"/>
          <w:szCs w:val="20"/>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行政管理部、项目管理部、财务部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eastAsia="zh-CN"/>
        </w:rPr>
        <w:t>办公室、项目现场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行政管理部、项目管理部、财务部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行政管理部、项目管理部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行政管理部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项目管理部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宋体" w:hAnsi="宋体"/>
                <w:b w:val="0"/>
                <w:bCs/>
                <w:color w:val="000000"/>
                <w:sz w:val="20"/>
                <w:szCs w:val="20"/>
              </w:rPr>
              <w:t>四川省成都市武侯区聚龙路970号1栋1单元5楼553号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b w:val="0"/>
                <w:bCs/>
                <w:color w:val="000000"/>
                <w:sz w:val="20"/>
                <w:szCs w:val="20"/>
              </w:rPr>
              <w:t>四川省成都市武侯区聚龙路970号1栋1单元5楼553号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firstLineChars="0"/>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lang w:val="en-US" w:eastAsia="zh-CN"/>
              </w:rPr>
              <w:t>1、</w:t>
            </w:r>
            <w:r>
              <w:rPr>
                <w:rFonts w:hint="eastAsia" w:ascii="宋体"/>
                <w:color w:val="000000"/>
                <w:sz w:val="20"/>
                <w:szCs w:val="20"/>
              </w:rPr>
              <w:t>服务流程：</w:t>
            </w:r>
          </w:p>
          <w:p>
            <w:pPr>
              <w:rPr>
                <w:rFonts w:hint="eastAsia" w:ascii="宋体"/>
                <w:color w:val="000000"/>
                <w:sz w:val="20"/>
                <w:szCs w:val="20"/>
              </w:rPr>
            </w:pPr>
            <w:r>
              <w:rPr>
                <w:rFonts w:hint="eastAsia" w:ascii="宋体"/>
                <w:color w:val="000000"/>
                <w:sz w:val="20"/>
                <w:szCs w:val="20"/>
              </w:rPr>
              <w:t>项目投标策划和获得管理合同——项目物业的接收管理——项目日常管理——跟踪改进</w:t>
            </w:r>
          </w:p>
          <w:p>
            <w:pPr>
              <w:rPr>
                <w:rFonts w:hint="eastAsia" w:ascii="宋体"/>
                <w:color w:val="000000"/>
                <w:sz w:val="20"/>
                <w:szCs w:val="20"/>
              </w:rPr>
            </w:pPr>
            <w:r>
              <w:rPr>
                <w:rFonts w:hint="eastAsia" w:ascii="宋体"/>
                <w:color w:val="000000"/>
                <w:sz w:val="20"/>
                <w:szCs w:val="20"/>
                <w:lang w:val="en-US" w:eastAsia="zh-CN"/>
              </w:rPr>
              <w:t>2、</w:t>
            </w:r>
            <w:r>
              <w:rPr>
                <w:rFonts w:hint="eastAsia" w:ascii="宋体"/>
                <w:color w:val="000000"/>
                <w:sz w:val="20"/>
                <w:szCs w:val="20"/>
              </w:rPr>
              <w:t>巡逻岗操作流程：</w:t>
            </w:r>
          </w:p>
          <w:p>
            <w:pPr>
              <w:rPr>
                <w:rFonts w:hint="eastAsia" w:ascii="宋体"/>
                <w:color w:val="000000"/>
                <w:sz w:val="20"/>
                <w:szCs w:val="20"/>
              </w:rPr>
            </w:pPr>
            <w:r>
              <w:rPr>
                <w:rFonts w:hint="eastAsia" w:ascii="宋体"/>
                <w:color w:val="000000"/>
                <w:sz w:val="20"/>
                <w:szCs w:val="20"/>
              </w:rPr>
              <w:t>巡逻班长各岗位巡查——每班巡楼一至两次——仔细发现和消除各种隐患——填写巡楼记录</w:t>
            </w:r>
          </w:p>
          <w:p>
            <w:pPr>
              <w:rPr>
                <w:rFonts w:hint="eastAsia" w:ascii="宋体"/>
                <w:color w:val="000000"/>
                <w:sz w:val="20"/>
                <w:szCs w:val="20"/>
              </w:rPr>
            </w:pPr>
            <w:r>
              <w:rPr>
                <w:rFonts w:hint="eastAsia" w:ascii="宋体"/>
                <w:color w:val="000000"/>
                <w:sz w:val="20"/>
                <w:szCs w:val="20"/>
                <w:lang w:val="en-US" w:eastAsia="zh-CN"/>
              </w:rPr>
              <w:t>3、</w:t>
            </w:r>
            <w:r>
              <w:rPr>
                <w:rFonts w:hint="eastAsia" w:ascii="宋体"/>
                <w:color w:val="000000"/>
                <w:sz w:val="20"/>
                <w:szCs w:val="20"/>
              </w:rPr>
              <w:t>保洁服务流程图：</w:t>
            </w:r>
          </w:p>
          <w:p>
            <w:pPr>
              <w:rPr>
                <w:rFonts w:ascii="宋体"/>
                <w:color w:val="000000"/>
                <w:sz w:val="20"/>
                <w:szCs w:val="20"/>
              </w:rPr>
            </w:pPr>
            <w:r>
              <w:rPr>
                <w:rFonts w:hint="eastAsia" w:ascii="宋体"/>
                <w:color w:val="000000"/>
                <w:sz w:val="20"/>
                <w:szCs w:val="20"/>
              </w:rPr>
              <w:t>清洁药水的配置→清洁工具的配置→清扫过道→湿拖过道→清洁厕所→清扫办公室→垃圾清运→整理工具、药水→检查→整改→复检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主要设备：办公设备、电脑、</w:t>
            </w:r>
            <w:r>
              <w:rPr>
                <w:rFonts w:hint="eastAsia" w:ascii="宋体" w:hAnsi="宋体"/>
                <w:color w:val="000000"/>
                <w:spacing w:val="-10"/>
                <w:sz w:val="20"/>
                <w:szCs w:val="20"/>
                <w:lang w:eastAsia="zh-CN"/>
              </w:rPr>
              <w:t>手推式</w:t>
            </w:r>
            <w:r>
              <w:rPr>
                <w:rFonts w:hint="eastAsia" w:ascii="宋体" w:hAnsi="宋体"/>
                <w:color w:val="000000"/>
                <w:spacing w:val="-10"/>
                <w:sz w:val="20"/>
                <w:szCs w:val="20"/>
              </w:rPr>
              <w:t>洗地机、</w:t>
            </w:r>
            <w:r>
              <w:rPr>
                <w:rFonts w:hint="eastAsia" w:ascii="宋体" w:hAnsi="宋体"/>
                <w:color w:val="000000"/>
                <w:spacing w:val="-10"/>
                <w:sz w:val="20"/>
                <w:szCs w:val="20"/>
                <w:lang w:eastAsia="zh-CN"/>
              </w:rPr>
              <w:t>垃圾桶、扫帚、拖把、对讲机等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无</w:t>
            </w:r>
            <w:r>
              <w:rPr>
                <w:rFonts w:hint="eastAsia"/>
                <w:sz w:val="21"/>
                <w:szCs w:val="21"/>
              </w:rPr>
              <w:t>，</w:t>
            </w: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保洁服务</w:t>
            </w:r>
            <w:r>
              <w:rPr>
                <w:rFonts w:hint="eastAsia" w:ascii="宋体" w:hAnsi="宋体" w:cs="宋体"/>
                <w:sz w:val="21"/>
                <w:szCs w:val="21"/>
                <w:highlight w:val="none"/>
                <w:lang w:bidi="ar"/>
              </w:rPr>
              <w:t>质量验收检查主要按感官进行检查，暂未配置相应检测设备。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spacing w:line="400" w:lineRule="exact"/>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lang w:eastAsia="zh-CN"/>
              </w:rPr>
              <w:t>火灾、固体废弃物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eastAsia="zh-CN"/>
              </w:rPr>
              <w:t>触电应急预案、火灾应急预案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eastAsia="宋体"/>
                <w:color w:val="000000"/>
                <w:sz w:val="20"/>
                <w:szCs w:val="20"/>
                <w:lang w:eastAsia="zh-CN"/>
              </w:rPr>
            </w:pPr>
            <w:r>
              <w:rPr>
                <w:rFonts w:hint="eastAsia" w:ascii="宋体"/>
                <w:color w:val="000000"/>
                <w:sz w:val="20"/>
                <w:szCs w:val="20"/>
              </w:rPr>
              <w:t>不可接受风险有：火灾、</w:t>
            </w:r>
            <w:r>
              <w:rPr>
                <w:rFonts w:hint="eastAsia" w:ascii="宋体"/>
                <w:color w:val="000000"/>
                <w:sz w:val="20"/>
                <w:szCs w:val="20"/>
                <w:lang w:eastAsia="zh-CN"/>
              </w:rPr>
              <w:t>触电</w:t>
            </w:r>
            <w:r>
              <w:rPr>
                <w:rFonts w:hint="eastAsia" w:ascii="宋体"/>
                <w:color w:val="000000"/>
                <w:sz w:val="20"/>
                <w:szCs w:val="20"/>
              </w:rPr>
              <w:t>、</w:t>
            </w:r>
            <w:r>
              <w:rPr>
                <w:rFonts w:hint="eastAsia" w:ascii="宋体"/>
                <w:color w:val="000000"/>
                <w:sz w:val="20"/>
                <w:szCs w:val="20"/>
                <w:lang w:eastAsia="zh-CN"/>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w:t>
            </w:r>
            <w:r>
              <w:rPr>
                <w:rFonts w:hint="eastAsia" w:ascii="宋体" w:hAnsi="宋体"/>
                <w:b/>
                <w:color w:val="000000"/>
                <w:szCs w:val="21"/>
                <w:lang w:val="en-US" w:eastAsia="zh-CN"/>
              </w:rPr>
              <w:t>车程20分钟</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黑体" w:hAnsi="黑体" w:eastAsia="黑体" w:cs="黑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项目管理部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服务过程</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重点审核部门：</w:t>
            </w:r>
            <w:r>
              <w:rPr>
                <w:rFonts w:hint="eastAsia" w:ascii="宋体" w:hAnsi="宋体"/>
                <w:b/>
                <w:color w:val="000000"/>
                <w:sz w:val="20"/>
                <w:szCs w:val="20"/>
                <w:highlight w:val="none"/>
                <w:lang w:eastAsia="zh-CN"/>
              </w:rPr>
              <w:t>项目部</w:t>
            </w:r>
          </w:p>
          <w:p>
            <w:pPr>
              <w:spacing w:line="260" w:lineRule="exact"/>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重点审核场所：</w:t>
            </w:r>
            <w:r>
              <w:rPr>
                <w:rFonts w:hint="eastAsia" w:ascii="宋体" w:hAnsi="宋体"/>
                <w:b/>
                <w:color w:val="000000"/>
                <w:sz w:val="20"/>
                <w:szCs w:val="20"/>
                <w:highlight w:val="none"/>
                <w:lang w:val="en-US" w:eastAsia="zh-CN"/>
              </w:rPr>
              <w:t>办公场所、</w:t>
            </w:r>
            <w:r>
              <w:rPr>
                <w:rFonts w:hint="eastAsia" w:ascii="宋体" w:hAnsi="宋体"/>
                <w:b/>
                <w:color w:val="000000"/>
                <w:sz w:val="20"/>
                <w:szCs w:val="20"/>
                <w:highlight w:val="none"/>
                <w:lang w:eastAsia="zh-CN"/>
              </w:rPr>
              <w:t>项目现场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重点审核部门：</w:t>
            </w:r>
            <w:r>
              <w:rPr>
                <w:rFonts w:hint="eastAsia" w:ascii="宋体" w:hAnsi="宋体"/>
                <w:b/>
                <w:color w:val="000000"/>
                <w:sz w:val="20"/>
                <w:szCs w:val="20"/>
                <w:highlight w:val="none"/>
                <w:lang w:eastAsia="zh-CN"/>
              </w:rPr>
              <w:t>项目部</w:t>
            </w:r>
          </w:p>
          <w:p>
            <w:pPr>
              <w:spacing w:line="260" w:lineRule="exact"/>
              <w:rPr>
                <w:rFonts w:ascii="宋体"/>
                <w:b/>
                <w:color w:val="000000"/>
                <w:sz w:val="20"/>
                <w:szCs w:val="20"/>
              </w:rPr>
            </w:pPr>
            <w:r>
              <w:rPr>
                <w:rFonts w:hint="eastAsia" w:ascii="宋体" w:hAnsi="宋体"/>
                <w:b/>
                <w:color w:val="000000"/>
                <w:sz w:val="20"/>
                <w:szCs w:val="20"/>
                <w:highlight w:val="none"/>
              </w:rPr>
              <w:t>重点审核场所：</w:t>
            </w:r>
            <w:r>
              <w:rPr>
                <w:rFonts w:hint="eastAsia" w:ascii="宋体" w:hAnsi="宋体"/>
                <w:b/>
                <w:color w:val="000000"/>
                <w:sz w:val="20"/>
                <w:szCs w:val="20"/>
                <w:highlight w:val="none"/>
                <w:lang w:val="en-US" w:eastAsia="zh-CN"/>
              </w:rPr>
              <w:t>办公场所、</w:t>
            </w:r>
            <w:r>
              <w:rPr>
                <w:rFonts w:hint="eastAsia" w:ascii="宋体" w:hAnsi="宋体"/>
                <w:b/>
                <w:color w:val="000000"/>
                <w:sz w:val="20"/>
                <w:szCs w:val="20"/>
                <w:highlight w:val="none"/>
                <w:lang w:eastAsia="zh-CN"/>
              </w:rPr>
              <w:t>项目现场</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建立有《内部审核控制程序》，于20</w:t>
            </w:r>
            <w:r>
              <w:rPr>
                <w:rFonts w:hint="eastAsia" w:ascii="Times New Roman" w:hAnsi="Times New Roman" w:cs="Times New Roman"/>
                <w:szCs w:val="21"/>
                <w:lang w:val="en-US" w:eastAsia="zh-CN"/>
              </w:rPr>
              <w:t>20</w:t>
            </w:r>
            <w:r>
              <w:rPr>
                <w:rFonts w:hint="eastAsia" w:ascii="Times New Roman" w:hAnsi="Times New Roman" w:cs="Times New Roman"/>
                <w:szCs w:val="21"/>
              </w:rPr>
              <w:t>年</w:t>
            </w:r>
            <w:r>
              <w:rPr>
                <w:rFonts w:hint="eastAsia" w:ascii="Times New Roman" w:hAnsi="Times New Roman" w:cs="Times New Roman"/>
                <w:szCs w:val="21"/>
                <w:lang w:val="en-US" w:eastAsia="zh-CN"/>
              </w:rPr>
              <w:t>10</w:t>
            </w:r>
            <w:r>
              <w:rPr>
                <w:rFonts w:hint="eastAsia" w:ascii="Times New Roman" w:hAnsi="Times New Roman" w:cs="Times New Roman"/>
                <w:szCs w:val="21"/>
              </w:rPr>
              <w:t>月</w:t>
            </w:r>
            <w:r>
              <w:rPr>
                <w:rFonts w:hint="eastAsia" w:ascii="Times New Roman" w:hAnsi="Times New Roman" w:cs="Times New Roman"/>
                <w:szCs w:val="21"/>
                <w:lang w:val="en-US" w:eastAsia="zh-CN"/>
              </w:rPr>
              <w:t>10</w:t>
            </w:r>
            <w:r>
              <w:rPr>
                <w:rFonts w:hint="eastAsia" w:ascii="Times New Roman" w:hAnsi="Times New Roman" w:cs="Times New Roman"/>
                <w:szCs w:val="21"/>
              </w:rPr>
              <w:t>日进行了内部审核。内部审核组由：组长：</w:t>
            </w:r>
            <w:r>
              <w:rPr>
                <w:rFonts w:hint="eastAsia" w:ascii="Times New Roman" w:hAnsi="Times New Roman" w:cs="Times New Roman"/>
                <w:szCs w:val="21"/>
                <w:lang w:eastAsia="zh-CN"/>
              </w:rPr>
              <w:t>王杉</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组员：</w:t>
            </w:r>
            <w:r>
              <w:rPr>
                <w:rFonts w:hint="eastAsia" w:ascii="Times New Roman" w:hAnsi="Times New Roman" w:cs="Times New Roman"/>
                <w:szCs w:val="21"/>
                <w:lang w:eastAsia="zh-CN"/>
              </w:rPr>
              <w:t>覃小兰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ind w:firstLine="402" w:firstLineChars="200"/>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hint="eastAsia" w:ascii="Times New Roman" w:hAnsi="Times New Roman" w:cs="Times New Roman"/>
                <w:szCs w:val="21"/>
              </w:rPr>
            </w:pPr>
            <w:r>
              <w:rPr>
                <w:rFonts w:hint="eastAsia" w:ascii="Times New Roman" w:hAnsi="Times New Roman" w:cs="Times New Roman"/>
                <w:szCs w:val="21"/>
                <w:lang w:val="en-US" w:eastAsia="zh-CN"/>
              </w:rPr>
              <w:t>1、</w:t>
            </w:r>
            <w:r>
              <w:rPr>
                <w:rFonts w:hint="eastAsia" w:ascii="Times New Roman" w:hAnsi="Times New Roman" w:cs="Times New Roman"/>
                <w:szCs w:val="21"/>
              </w:rPr>
              <w:t>审核范围:管理体系涉及的公司所有部门、生产车间及活动场所。</w:t>
            </w:r>
          </w:p>
          <w:p>
            <w:pPr>
              <w:spacing w:line="260" w:lineRule="exact"/>
              <w:rPr>
                <w:rFonts w:ascii="宋体"/>
                <w:b/>
                <w:color w:val="000000"/>
                <w:sz w:val="20"/>
                <w:szCs w:val="20"/>
              </w:rPr>
            </w:pPr>
            <w:r>
              <w:rPr>
                <w:rFonts w:hint="eastAsia" w:ascii="Times New Roman" w:hAnsi="Times New Roman" w:cs="Times New Roman"/>
                <w:szCs w:val="21"/>
                <w:lang w:val="en-US" w:eastAsia="zh-CN"/>
              </w:rPr>
              <w:t>2、</w:t>
            </w:r>
            <w:r>
              <w:rPr>
                <w:rFonts w:hint="eastAsia" w:ascii="Times New Roman" w:hAnsi="Times New Roman" w:cs="Times New Roman"/>
                <w:szCs w:val="21"/>
              </w:rPr>
              <w:t>审核准则：a</w:t>
            </w:r>
            <w:r>
              <w:rPr>
                <w:rFonts w:hint="eastAsia" w:ascii="宋体" w:hAnsi="宋体" w:cs="Times New Roman"/>
                <w:snapToGrid w:val="0"/>
                <w:color w:val="000000"/>
                <w:kern w:val="0"/>
                <w:sz w:val="18"/>
                <w:szCs w:val="21"/>
                <w:lang w:val="en-US" w:eastAsia="zh-CN"/>
              </w:rPr>
              <w:t>.Q</w:t>
            </w:r>
            <w:r>
              <w:rPr>
                <w:rFonts w:hint="eastAsia" w:ascii="宋体" w:hAnsi="宋体" w:cs="Times New Roman"/>
                <w:snapToGrid w:val="0"/>
                <w:color w:val="000000"/>
                <w:kern w:val="0"/>
                <w:sz w:val="18"/>
                <w:szCs w:val="21"/>
              </w:rPr>
              <w:t>.GB</w:t>
            </w:r>
            <w:r>
              <w:rPr>
                <w:rFonts w:hint="eastAsia" w:ascii="宋体" w:hAnsi="宋体"/>
                <w:snapToGrid w:val="0"/>
                <w:color w:val="000000"/>
                <w:kern w:val="0"/>
                <w:sz w:val="18"/>
                <w:szCs w:val="21"/>
              </w:rPr>
              <w:t>/T 19001-2016idtISO 9001:2015,E：GB/T 24001-2016idtISO 14001:2015,O：ISO 45001：2018</w:t>
            </w:r>
            <w:r>
              <w:rPr>
                <w:rFonts w:hint="eastAsia" w:ascii="Times New Roman" w:hAnsi="Times New Roman" w:cs="Times New Roman"/>
                <w:szCs w:val="21"/>
              </w:rPr>
              <w:t>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Times New Roman" w:hAnsi="Times New Roman" w:cs="Times New Roman"/>
                <w:szCs w:val="21"/>
              </w:rPr>
            </w:pPr>
            <w:r>
              <w:rPr>
                <w:rFonts w:hint="eastAsia" w:ascii="Times New Roman" w:hAnsi="Times New Roman" w:cs="Times New Roman"/>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hint="eastAsia" w:ascii="宋体" w:hAnsi="宋体"/>
                <w:b/>
                <w:color w:val="000000"/>
                <w:sz w:val="20"/>
                <w:szCs w:val="20"/>
              </w:rPr>
            </w:pPr>
            <w:r>
              <w:rPr>
                <w:rFonts w:hint="eastAsia" w:ascii="Times New Roman" w:hAnsi="Times New Roman" w:cs="Times New Roman"/>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20</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30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hint="eastAsia" w:ascii="宋体" w:eastAsia="宋体"/>
                <w:b/>
                <w:color w:val="000000"/>
                <w:szCs w:val="21"/>
                <w:lang w:eastAsia="zh-CN"/>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黑体" w:hAnsi="黑体" w:eastAsia="黑体" w:cs="黑体"/>
                <w:b/>
                <w:color w:val="000000"/>
                <w:spacing w:val="-10"/>
                <w:sz w:val="20"/>
                <w:szCs w:val="20"/>
              </w:rPr>
              <w:t>■</w:t>
            </w:r>
            <w:r>
              <w:rPr>
                <w:rFonts w:ascii="宋体" w:hAnsi="宋体"/>
                <w:b/>
                <w:color w:val="000000"/>
                <w:sz w:val="20"/>
                <w:szCs w:val="20"/>
              </w:rPr>
              <w:t>QMS /</w:t>
            </w:r>
            <w:r>
              <w:rPr>
                <w:rFonts w:hint="eastAsia" w:ascii="黑体" w:hAnsi="黑体" w:eastAsia="黑体" w:cs="黑体"/>
                <w:b/>
                <w:color w:val="000000"/>
                <w:spacing w:val="-10"/>
                <w:sz w:val="20"/>
                <w:szCs w:val="20"/>
              </w:rPr>
              <w:t>■</w:t>
            </w:r>
            <w:r>
              <w:rPr>
                <w:rFonts w:ascii="宋体" w:hAnsi="宋体"/>
                <w:b/>
                <w:color w:val="000000"/>
                <w:sz w:val="20"/>
                <w:szCs w:val="20"/>
              </w:rPr>
              <w:t>EMS/</w:t>
            </w:r>
            <w:r>
              <w:rPr>
                <w:rFonts w:hint="eastAsia" w:ascii="黑体" w:hAnsi="黑体" w:eastAsia="黑体" w:cs="黑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lang w:eastAsia="zh-CN"/>
        </w:rPr>
      </w:pPr>
      <w:r>
        <w:rPr>
          <w:rFonts w:ascii="宋体" w:hAnsi="宋体"/>
          <w:b/>
          <w:color w:val="000000"/>
          <w:sz w:val="20"/>
          <w:szCs w:val="20"/>
        </w:rPr>
        <w:t>QMS:</w:t>
      </w:r>
      <w:r>
        <w:rPr>
          <w:rFonts w:hint="eastAsia" w:ascii="宋体" w:hAnsi="宋体"/>
          <w:sz w:val="21"/>
          <w:szCs w:val="21"/>
          <w:u w:val="single"/>
          <w:lang w:val="de-DE"/>
        </w:rPr>
        <w:t>物业管理服务</w:t>
      </w:r>
      <w:r>
        <w:rPr>
          <w:rFonts w:hint="eastAsia" w:ascii="宋体" w:hAnsi="宋体"/>
          <w:sz w:val="21"/>
          <w:szCs w:val="21"/>
          <w:u w:val="single"/>
          <w:lang w:val="de-DE" w:eastAsia="zh-CN"/>
        </w:rPr>
        <w:t>。</w:t>
      </w:r>
    </w:p>
    <w:p>
      <w:pPr>
        <w:spacing w:line="300" w:lineRule="auto"/>
        <w:ind w:firstLine="201" w:firstLineChars="100"/>
        <w:rPr>
          <w:rFonts w:hint="eastAsia" w:ascii="宋体" w:hAnsi="宋体" w:eastAsia="宋体"/>
          <w:sz w:val="21"/>
          <w:szCs w:val="21"/>
          <w:lang w:val="de-DE" w:eastAsia="zh-CN"/>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 w:val="21"/>
          <w:szCs w:val="21"/>
          <w:u w:val="single"/>
          <w:lang w:val="de-DE"/>
        </w:rPr>
        <w:t>物业管理服务及相关环境管理活动</w:t>
      </w:r>
      <w:r>
        <w:rPr>
          <w:rFonts w:hint="eastAsia" w:ascii="宋体" w:hAnsi="宋体"/>
          <w:sz w:val="21"/>
          <w:szCs w:val="21"/>
          <w:u w:val="single"/>
          <w:lang w:val="de-DE" w:eastAsia="zh-CN"/>
        </w:rPr>
        <w:t>。</w:t>
      </w:r>
    </w:p>
    <w:p>
      <w:pPr>
        <w:spacing w:line="300" w:lineRule="auto"/>
        <w:ind w:firstLine="201" w:firstLineChars="100"/>
        <w:rPr>
          <w:rFonts w:hint="eastAsia" w:ascii="宋体" w:eastAsia="宋体"/>
          <w:b/>
          <w:color w:val="000000"/>
          <w:sz w:val="20"/>
          <w:szCs w:val="20"/>
          <w:u w:val="single"/>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 w:val="21"/>
          <w:szCs w:val="21"/>
          <w:u w:val="single"/>
          <w:lang w:val="de-DE"/>
        </w:rPr>
        <w:t>物业管理服务及相关职业健康安全管理活动</w:t>
      </w:r>
      <w:r>
        <w:rPr>
          <w:rFonts w:hint="eastAsia" w:ascii="宋体" w:hAnsi="宋体"/>
          <w:sz w:val="21"/>
          <w:szCs w:val="21"/>
          <w:u w:val="single"/>
          <w:lang w:val="de-DE" w:eastAsia="zh-CN"/>
        </w:rPr>
        <w:t>。</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1824990</wp:posOffset>
            </wp:positionH>
            <wp:positionV relativeFrom="paragraph">
              <wp:posOffset>254000</wp:posOffset>
            </wp:positionV>
            <wp:extent cx="721360" cy="451485"/>
            <wp:effectExtent l="0" t="0" r="10160" b="5715"/>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6" cstate="print"/>
                    <a:srcRect/>
                    <a:stretch>
                      <a:fillRect/>
                    </a:stretch>
                  </pic:blipFill>
                  <pic:spPr>
                    <a:xfrm>
                      <a:off x="0" y="0"/>
                      <a:ext cx="721360" cy="45148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sz w:val="22"/>
          <w:szCs w:val="22"/>
        </w:rPr>
        <w:drawing>
          <wp:anchor distT="0" distB="0" distL="114300" distR="114300" simplePos="0" relativeHeight="251664384" behindDoc="0" locked="0" layoutInCell="1" allowOverlap="1">
            <wp:simplePos x="0" y="0"/>
            <wp:positionH relativeFrom="column">
              <wp:posOffset>3467100</wp:posOffset>
            </wp:positionH>
            <wp:positionV relativeFrom="paragraph">
              <wp:posOffset>12065</wp:posOffset>
            </wp:positionV>
            <wp:extent cx="495300" cy="324485"/>
            <wp:effectExtent l="0" t="0" r="7620" b="1079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495300" cy="32448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1" locked="0" layoutInCell="1" allowOverlap="1">
            <wp:simplePos x="0" y="0"/>
            <wp:positionH relativeFrom="column">
              <wp:posOffset>2494915</wp:posOffset>
            </wp:positionH>
            <wp:positionV relativeFrom="paragraph">
              <wp:posOffset>34290</wp:posOffset>
            </wp:positionV>
            <wp:extent cx="925195" cy="371475"/>
            <wp:effectExtent l="0" t="0" r="0" b="0"/>
            <wp:wrapTight wrapText="bothSides">
              <wp:wrapPolygon>
                <wp:start x="0" y="0"/>
                <wp:lineTo x="0" y="20382"/>
                <wp:lineTo x="21348" y="20382"/>
                <wp:lineTo x="21348"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8"/>
                    <a:stretch>
                      <a:fillRect/>
                    </a:stretch>
                  </pic:blipFill>
                  <pic:spPr>
                    <a:xfrm>
                      <a:off x="0" y="0"/>
                      <a:ext cx="925195" cy="37147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1734185</wp:posOffset>
            </wp:positionH>
            <wp:positionV relativeFrom="paragraph">
              <wp:posOffset>40640</wp:posOffset>
            </wp:positionV>
            <wp:extent cx="755015" cy="374015"/>
            <wp:effectExtent l="0" t="0" r="6985"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9"/>
                    <a:srcRect l="19829" t="27682" r="28673" b="20988"/>
                    <a:stretch>
                      <a:fillRect/>
                    </a:stretch>
                  </pic:blipFill>
                  <pic:spPr>
                    <a:xfrm>
                      <a:off x="0" y="0"/>
                      <a:ext cx="755015" cy="37401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2021.5.16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黑体" w:hAnsi="黑体" w:eastAsia="黑体" w:cs="黑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5408" behindDoc="0" locked="0" layoutInCell="1" allowOverlap="1">
                  <wp:simplePos x="0" y="0"/>
                  <wp:positionH relativeFrom="column">
                    <wp:posOffset>549910</wp:posOffset>
                  </wp:positionH>
                  <wp:positionV relativeFrom="paragraph">
                    <wp:posOffset>17780</wp:posOffset>
                  </wp:positionV>
                  <wp:extent cx="499110" cy="312420"/>
                  <wp:effectExtent l="0" t="0" r="15240" b="1143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499110" cy="312420"/>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黑体" w:hAnsi="黑体" w:eastAsia="黑体" w:cs="黑体"/>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黑体" w:hAnsi="黑体" w:eastAsia="黑体" w:cs="黑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b/>
                <w:sz w:val="22"/>
                <w:szCs w:val="22"/>
              </w:rPr>
              <w:drawing>
                <wp:anchor distT="0" distB="0" distL="114300" distR="114300" simplePos="0" relativeHeight="251666432" behindDoc="0" locked="0" layoutInCell="1" allowOverlap="1">
                  <wp:simplePos x="0" y="0"/>
                  <wp:positionH relativeFrom="column">
                    <wp:posOffset>535940</wp:posOffset>
                  </wp:positionH>
                  <wp:positionV relativeFrom="paragraph">
                    <wp:posOffset>20320</wp:posOffset>
                  </wp:positionV>
                  <wp:extent cx="499110" cy="312420"/>
                  <wp:effectExtent l="0" t="0" r="15240" b="1143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499110" cy="312420"/>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270E67"/>
    <w:rsid w:val="01B74131"/>
    <w:rsid w:val="03895AC6"/>
    <w:rsid w:val="0398611B"/>
    <w:rsid w:val="05745E44"/>
    <w:rsid w:val="08512C3E"/>
    <w:rsid w:val="0BB61464"/>
    <w:rsid w:val="0C40540D"/>
    <w:rsid w:val="0D3427FB"/>
    <w:rsid w:val="11E70F02"/>
    <w:rsid w:val="13622C2C"/>
    <w:rsid w:val="16221B0D"/>
    <w:rsid w:val="16405C9D"/>
    <w:rsid w:val="16B45D32"/>
    <w:rsid w:val="18347832"/>
    <w:rsid w:val="190E16DE"/>
    <w:rsid w:val="1B41396F"/>
    <w:rsid w:val="1DB25E44"/>
    <w:rsid w:val="1E093020"/>
    <w:rsid w:val="209705F9"/>
    <w:rsid w:val="21DF0663"/>
    <w:rsid w:val="22E51683"/>
    <w:rsid w:val="242B2A2D"/>
    <w:rsid w:val="246058FF"/>
    <w:rsid w:val="24C9256C"/>
    <w:rsid w:val="252D22BE"/>
    <w:rsid w:val="25484390"/>
    <w:rsid w:val="2AA20C52"/>
    <w:rsid w:val="2CB6147E"/>
    <w:rsid w:val="2CF920AC"/>
    <w:rsid w:val="2CFE6205"/>
    <w:rsid w:val="2F2056E9"/>
    <w:rsid w:val="31897BC0"/>
    <w:rsid w:val="33EC18BC"/>
    <w:rsid w:val="355E604C"/>
    <w:rsid w:val="37302CFA"/>
    <w:rsid w:val="39174994"/>
    <w:rsid w:val="3A1A5E57"/>
    <w:rsid w:val="40352FDC"/>
    <w:rsid w:val="41EC7F22"/>
    <w:rsid w:val="44E504B3"/>
    <w:rsid w:val="465736B6"/>
    <w:rsid w:val="490A514C"/>
    <w:rsid w:val="49490E53"/>
    <w:rsid w:val="4ABF032D"/>
    <w:rsid w:val="4F942852"/>
    <w:rsid w:val="50EF0AB8"/>
    <w:rsid w:val="518B4ED5"/>
    <w:rsid w:val="51B04700"/>
    <w:rsid w:val="53666F13"/>
    <w:rsid w:val="537F3789"/>
    <w:rsid w:val="549C7DA0"/>
    <w:rsid w:val="56DE3F5E"/>
    <w:rsid w:val="56F8098C"/>
    <w:rsid w:val="58BF4F35"/>
    <w:rsid w:val="58DC48CC"/>
    <w:rsid w:val="5A9E7230"/>
    <w:rsid w:val="5C6B2B1A"/>
    <w:rsid w:val="5D627554"/>
    <w:rsid w:val="5DDA17EB"/>
    <w:rsid w:val="5F08733E"/>
    <w:rsid w:val="5FCC1AD9"/>
    <w:rsid w:val="63102235"/>
    <w:rsid w:val="64A72C5F"/>
    <w:rsid w:val="65503067"/>
    <w:rsid w:val="692327BB"/>
    <w:rsid w:val="6D204488"/>
    <w:rsid w:val="6D77178F"/>
    <w:rsid w:val="6FC931B8"/>
    <w:rsid w:val="6FF360F2"/>
    <w:rsid w:val="725E0714"/>
    <w:rsid w:val="736A71DB"/>
    <w:rsid w:val="751D202B"/>
    <w:rsid w:val="77A778E2"/>
    <w:rsid w:val="79815D34"/>
    <w:rsid w:val="7DDC5C71"/>
    <w:rsid w:val="7EA77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2021-05-18T03:44:58Z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F3C641FFEA4D48FD93FEB6B698B6DF72</vt:lpwstr>
  </property>
</Properties>
</file>