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01" w:rightChars="191"/>
        <w:jc w:val="center"/>
        <w:rPr>
          <w:rFonts w:hint="eastAsia" w:ascii="宋体" w:hAnsi="宋体"/>
          <w:sz w:val="18"/>
        </w:rPr>
      </w:pPr>
      <w:r>
        <w:rPr>
          <w:rFonts w:hint="eastAsia" w:ascii="宋体" w:hAnsi="宋体"/>
          <w:sz w:val="18"/>
        </w:rPr>
        <w:t>编  号：</w:t>
      </w:r>
      <w:bookmarkStart w:id="0" w:name="合同编号"/>
      <w:r>
        <w:rPr>
          <w:szCs w:val="44"/>
        </w:rPr>
        <w:t>0469-2021-Q</w:t>
      </w:r>
      <w:bookmarkEnd w:id="0"/>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重庆高通电子系统有限公司</w:t>
      </w:r>
      <w:bookmarkEnd w:id="1"/>
    </w:p>
    <w:p>
      <w:pPr>
        <w:snapToGrid w:val="0"/>
        <w:spacing w:after="94" w:afterLines="30"/>
        <w:ind w:firstLine="321" w:firstLineChars="100"/>
        <w:rPr>
          <w:rFonts w:ascii="楷体" w:hAnsi="楷体" w:eastAsia="楷体"/>
          <w:b/>
          <w:color w:val="000000" w:themeColor="text1"/>
          <w:sz w:val="32"/>
          <w:szCs w:val="32"/>
          <w:u w:val="single"/>
        </w:rPr>
      </w:pPr>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29.09.02,34.05.00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0"/>
        </w:numPr>
        <w:ind w:left="-851" w:leftChars="0"/>
        <w:rPr>
          <w:rFonts w:ascii="宋体" w:hAnsi="宋体"/>
          <w:b/>
          <w:color w:val="000000" w:themeColor="text1"/>
          <w:sz w:val="26"/>
          <w:szCs w:val="2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GB/T19001-2016/ISO9001:2015</w:t>
      </w:r>
      <w:bookmarkEnd w:id="5"/>
    </w:p>
    <w:p>
      <w:pPr>
        <w:pStyle w:val="12"/>
        <w:numPr>
          <w:ilvl w:val="0"/>
          <w:numId w:val="1"/>
        </w:numPr>
        <w:ind w:left="-142" w:hanging="709" w:firstLineChars="0"/>
        <w:rPr>
          <w:rFonts w:hint="eastAsia"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重庆高通电子系统有限公司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10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重庆市九龙坡区石桥铺石新路71号附1号1-8-1</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40003</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重庆市沙坪坝区上桥关井沟</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400037</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陈俊伦</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13808316200</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陈俊伦</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陈俊伦</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陈俊伦</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车用电子产品的研发、销售</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29.09.02;34.05.00</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2020-12-01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u w:val="none"/>
                <w:lang w:val="en-US" w:eastAsia="zh-CN" w:bidi="ar-SA"/>
              </w:rPr>
            </w:pPr>
            <w:r>
              <w:rPr>
                <w:rFonts w:hint="eastAsia" w:ascii="宋体" w:hAnsi="宋体"/>
                <w:b/>
                <w:color w:val="000000" w:themeColor="text1"/>
                <w:spacing w:val="-20"/>
                <w:sz w:val="20"/>
                <w:szCs w:val="20"/>
                <w:u w:val="none"/>
                <w:lang w:eastAsia="zh-CN"/>
              </w:rPr>
              <w:t>综合部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顾客满意度调查</w:t>
            </w:r>
            <w:r>
              <w:rPr>
                <w:rFonts w:hint="eastAsia"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u w:val="none"/>
                <w:lang w:val="en-US" w:eastAsia="zh-CN" w:bidi="ar-SA"/>
              </w:rPr>
            </w:pPr>
            <w:r>
              <w:rPr>
                <w:rFonts w:hint="eastAsia" w:ascii="宋体" w:hAnsi="宋体"/>
                <w:b/>
                <w:color w:val="000000" w:themeColor="text1"/>
                <w:spacing w:val="-20"/>
                <w:sz w:val="20"/>
                <w:szCs w:val="20"/>
                <w:u w:val="none"/>
                <w:lang w:val="en-US" w:eastAsia="zh-CN"/>
              </w:rPr>
              <w:t>研发部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纠正和预防措施控制；</w:t>
            </w:r>
            <w:r>
              <w:rPr>
                <w:rFonts w:hint="eastAsia" w:ascii="宋体" w:hAnsi="宋体"/>
                <w:b/>
                <w:color w:val="000000" w:themeColor="text1"/>
                <w:sz w:val="20"/>
                <w:szCs w:val="20"/>
                <w:lang w:eastAsia="zh-CN"/>
              </w:rPr>
              <w:t>产品研发策划及实施</w:t>
            </w:r>
            <w:r>
              <w:rPr>
                <w:rFonts w:hint="eastAsia" w:ascii="宋体" w:hAnsi="宋体"/>
                <w:b/>
                <w:color w:val="000000" w:themeColor="text1"/>
                <w:sz w:val="20"/>
                <w:szCs w:val="20"/>
              </w:rPr>
              <w:t>管理；过程监控管理；监视和测量设备管理；服务过程管理；产品验收管理；不合格品控制；设备设施管理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both"/>
              <w:rPr>
                <w:rFonts w:hint="eastAsia" w:ascii="宋体" w:hAnsi="宋体" w:eastAsia="宋体" w:cs="Times New Roman"/>
                <w:b/>
                <w:color w:val="000000" w:themeColor="text1"/>
                <w:kern w:val="2"/>
                <w:sz w:val="20"/>
                <w:szCs w:val="20"/>
                <w:u w:val="none"/>
                <w:lang w:val="en-US" w:eastAsia="zh-CN" w:bidi="ar-SA"/>
              </w:rPr>
            </w:pPr>
          </w:p>
        </w:tc>
        <w:tc>
          <w:tcPr>
            <w:tcW w:w="6804" w:type="dxa"/>
            <w:vAlign w:val="top"/>
          </w:tcPr>
          <w:p>
            <w:pPr>
              <w:jc w:val="left"/>
              <w:rPr>
                <w:rFonts w:hint="default" w:ascii="宋体" w:hAnsi="宋体" w:eastAsia="宋体" w:cs="Times New Roman"/>
                <w:b/>
                <w:color w:val="000000" w:themeColor="text1"/>
                <w:spacing w:val="-20"/>
                <w:kern w:val="2"/>
                <w:sz w:val="20"/>
                <w:szCs w:val="20"/>
                <w:u w:val="single"/>
                <w:lang w:val="en-US" w:eastAsia="zh-CN" w:bidi="ar-SA"/>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164"/>
        <w:gridCol w:w="690"/>
        <w:gridCol w:w="6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164"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690" w:type="dxa"/>
          </w:tcPr>
          <w:p>
            <w:pPr>
              <w:rPr>
                <w:b/>
                <w:color w:val="000000" w:themeColor="text1"/>
                <w:sz w:val="20"/>
                <w:szCs w:val="20"/>
              </w:rPr>
            </w:pPr>
            <w:r>
              <w:rPr>
                <w:rFonts w:hint="eastAsia"/>
                <w:b/>
                <w:color w:val="000000" w:themeColor="text1"/>
                <w:sz w:val="20"/>
                <w:szCs w:val="20"/>
              </w:rPr>
              <w:t>规格</w:t>
            </w:r>
          </w:p>
        </w:tc>
        <w:tc>
          <w:tcPr>
            <w:tcW w:w="6051" w:type="dxa"/>
          </w:tcPr>
          <w:p>
            <w:pPr>
              <w:rPr>
                <w:b/>
                <w:color w:val="000000" w:themeColor="text1"/>
                <w:sz w:val="20"/>
                <w:szCs w:val="20"/>
                <w:highlight w:val="yellow"/>
              </w:rPr>
            </w:pPr>
            <w:r>
              <w:rPr>
                <w:rFonts w:hint="eastAsia" w:ascii="宋体" w:hAnsi="宋体"/>
                <w:sz w:val="21"/>
                <w:szCs w:val="21"/>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 xml:space="preserve">车用电子产品的研发、销售 </w:t>
            </w:r>
          </w:p>
        </w:tc>
        <w:tc>
          <w:tcPr>
            <w:tcW w:w="1164" w:type="dxa"/>
          </w:tcPr>
          <w:p>
            <w:pPr>
              <w:rPr>
                <w:b/>
                <w:color w:val="000000" w:themeColor="text1"/>
                <w:sz w:val="20"/>
                <w:szCs w:val="20"/>
              </w:rPr>
            </w:pPr>
          </w:p>
        </w:tc>
        <w:tc>
          <w:tcPr>
            <w:tcW w:w="690" w:type="dxa"/>
          </w:tcPr>
          <w:p>
            <w:pPr>
              <w:rPr>
                <w:b/>
                <w:color w:val="000000" w:themeColor="text1"/>
                <w:sz w:val="20"/>
                <w:szCs w:val="20"/>
              </w:rPr>
            </w:pPr>
          </w:p>
        </w:tc>
        <w:tc>
          <w:tcPr>
            <w:tcW w:w="6051" w:type="dxa"/>
          </w:tcPr>
          <w:p>
            <w:pPr>
              <w:pStyle w:val="2"/>
              <w:rPr>
                <w:b/>
                <w:color w:val="000000" w:themeColor="text1"/>
                <w:sz w:val="20"/>
                <w:szCs w:val="20"/>
                <w:highlight w:val="yellow"/>
              </w:rPr>
            </w:pPr>
            <w:r>
              <w:rPr>
                <w:rFonts w:hint="eastAsia" w:ascii="宋体" w:hAnsi="宋体"/>
                <w:color w:val="auto"/>
                <w:sz w:val="21"/>
                <w:szCs w:val="21"/>
              </w:rPr>
              <w:t>中华人民共和国产品质量法、中华人民共和国消费者权益保护法、频率信号输出型转速传感器性能评定方法JB/T 7814-2014、压力传感器性能试验方法GB/T 15478-2015等标准及合同和客户要求</w:t>
            </w:r>
            <w:r>
              <w:rPr>
                <w:rFonts w:hint="eastAsia" w:ascii="宋体" w:hAnsi="宋体"/>
                <w:color w:val="auto"/>
                <w:sz w:val="21"/>
                <w:szCs w:val="21"/>
                <w:lang w:eastAsia="zh-CN"/>
              </w:rPr>
              <w:t>。</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12</w:t>
      </w:r>
      <w:r>
        <w:rPr>
          <w:rFonts w:hint="eastAsia"/>
          <w:b/>
          <w:color w:val="000000" w:themeColor="text1"/>
          <w:spacing w:val="-10"/>
          <w:szCs w:val="21"/>
        </w:rPr>
        <w:t>月</w:t>
      </w:r>
      <w:bookmarkStart w:id="21" w:name="OLE_LINK1"/>
      <w:r>
        <w:rPr>
          <w:rFonts w:hint="eastAsia"/>
          <w:b/>
          <w:color w:val="000000" w:themeColor="text1"/>
          <w:spacing w:val="-10"/>
          <w:szCs w:val="21"/>
          <w:lang w:val="en-US" w:eastAsia="zh-CN"/>
        </w:rPr>
        <w:t>01</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sz w:val="20"/>
        </w:rPr>
        <w:t>2021年05月</w:t>
      </w:r>
      <w:r>
        <w:rPr>
          <w:rFonts w:hint="eastAsia"/>
          <w:b/>
          <w:sz w:val="20"/>
          <w:lang w:val="en-US" w:eastAsia="zh-CN"/>
        </w:rPr>
        <w:t>15</w:t>
      </w:r>
      <w:r>
        <w:rPr>
          <w:rFonts w:hint="eastAsia"/>
          <w:b/>
          <w:sz w:val="20"/>
        </w:rPr>
        <w:t>日</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无</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宋体" w:hAnsi="宋体"/>
                <w:color w:val="000000" w:themeColor="text1"/>
                <w:lang w:eastAsia="zh-CN"/>
              </w:rPr>
              <w:t>条款</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rPr>
                <w:b/>
                <w:color w:val="000000" w:themeColor="text1"/>
              </w:rPr>
            </w:pPr>
            <w:r>
              <w:rPr>
                <w:b/>
                <w:color w:val="000000" w:themeColor="text1"/>
                <w:sz w:val="20"/>
                <w:szCs w:val="20"/>
              </w:rPr>
              <w:t>3.</w:t>
            </w: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sz w:val="21"/>
                <w:szCs w:val="21"/>
                <w:lang w:eastAsia="zh-CN"/>
              </w:rPr>
              <w:t>质量第一</w:t>
            </w:r>
            <w:r>
              <w:rPr>
                <w:rFonts w:hint="eastAsia"/>
                <w:sz w:val="21"/>
                <w:szCs w:val="21"/>
              </w:rPr>
              <w:t>、</w:t>
            </w:r>
            <w:r>
              <w:rPr>
                <w:rFonts w:hint="eastAsia"/>
                <w:sz w:val="21"/>
                <w:szCs w:val="21"/>
                <w:lang w:eastAsia="zh-CN"/>
              </w:rPr>
              <w:t>用户至上</w:t>
            </w:r>
            <w:r>
              <w:rPr>
                <w:rFonts w:hint="eastAsia"/>
                <w:sz w:val="21"/>
                <w:szCs w:val="21"/>
              </w:rPr>
              <w:t>，</w:t>
            </w:r>
            <w:r>
              <w:rPr>
                <w:rFonts w:hint="eastAsia"/>
                <w:sz w:val="21"/>
                <w:szCs w:val="21"/>
                <w:lang w:eastAsia="zh-CN"/>
              </w:rPr>
              <w:t>持续改进</w:t>
            </w:r>
            <w:r>
              <w:rPr>
                <w:rFonts w:hint="eastAsia"/>
                <w:sz w:val="21"/>
                <w:szCs w:val="21"/>
              </w:rPr>
              <w:t>，</w:t>
            </w:r>
            <w:r>
              <w:rPr>
                <w:rFonts w:hint="eastAsia"/>
                <w:sz w:val="21"/>
                <w:szCs w:val="21"/>
                <w:lang w:eastAsia="zh-CN"/>
              </w:rPr>
              <w:t>服务周到。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ind w:firstLine="210" w:firstLineChars="100"/>
              <w:rPr>
                <w:rFonts w:hint="eastAsia" w:ascii="宋体" w:hAnsi="宋体"/>
                <w:color w:val="000000" w:themeColor="text1"/>
                <w:lang w:eastAsia="zh-CN"/>
              </w:rPr>
            </w:pPr>
            <w:r>
              <w:rPr>
                <w:rFonts w:hint="eastAsia" w:ascii="宋体" w:hAnsi="宋体"/>
                <w:sz w:val="21"/>
                <w:szCs w:val="21"/>
                <w:lang w:eastAsia="zh-CN"/>
              </w:rPr>
              <w:t>5.</w:t>
            </w:r>
            <w:r>
              <w:rPr>
                <w:rFonts w:hint="eastAsia" w:ascii="宋体" w:hAnsi="宋体"/>
                <w:color w:val="000000" w:themeColor="text1"/>
                <w:lang w:eastAsia="zh-CN"/>
              </w:rPr>
              <w:t>QMS过程</w:t>
            </w:r>
          </w:p>
          <w:p>
            <w:pPr>
              <w:spacing w:line="240" w:lineRule="exact"/>
              <w:ind w:firstLine="210" w:firstLineChars="100"/>
              <w:rPr>
                <w:rFonts w:hint="eastAsia" w:ascii="宋体" w:hAnsi="宋体"/>
                <w:color w:val="000000" w:themeColor="text1"/>
                <w:lang w:val="en-US" w:eastAsia="zh-CN"/>
              </w:rPr>
            </w:pPr>
            <w:r>
              <w:rPr>
                <w:rFonts w:hint="eastAsia" w:ascii="宋体" w:hAnsi="宋体"/>
                <w:color w:val="000000" w:themeColor="text1"/>
                <w:lang w:val="en-US" w:eastAsia="zh-CN"/>
              </w:rPr>
              <w:t>传感器及车用电子产品的研发、销售 ：</w:t>
            </w:r>
          </w:p>
          <w:p>
            <w:pPr>
              <w:spacing w:line="360" w:lineRule="auto"/>
              <w:ind w:firstLine="210" w:firstLineChars="100"/>
              <w:rPr>
                <w:rFonts w:hint="eastAsia" w:ascii="宋体" w:hAnsi="宋体" w:cs="宋体"/>
                <w:color w:val="000000"/>
                <w:szCs w:val="21"/>
                <w:lang w:val="en-US" w:eastAsia="zh-CN"/>
              </w:rPr>
            </w:pPr>
            <w:r>
              <w:rPr>
                <w:rFonts w:hint="eastAsia" w:ascii="宋体" w:hAnsi="宋体" w:cs="宋体"/>
                <w:color w:val="000000"/>
                <w:szCs w:val="21"/>
                <w:lang w:val="en-US" w:eastAsia="zh-CN"/>
              </w:rPr>
              <w:t>需求分析—提出设计任务—编制设计方案—开发设计—样品验证</w:t>
            </w:r>
          </w:p>
          <w:p>
            <w:pPr>
              <w:spacing w:line="240" w:lineRule="exact"/>
              <w:ind w:firstLine="210" w:firstLineChars="100"/>
              <w:rPr>
                <w:rFonts w:hint="eastAsia" w:ascii="宋体" w:hAnsi="宋体"/>
                <w:color w:val="000000" w:themeColor="text1"/>
                <w:lang w:val="en-US" w:eastAsia="zh-CN"/>
              </w:rPr>
            </w:pPr>
            <w:r>
              <w:rPr>
                <w:rFonts w:hint="eastAsia" w:ascii="宋体" w:hAnsi="宋体"/>
                <w:color w:val="000000" w:themeColor="text1"/>
                <w:lang w:val="en-US" w:eastAsia="zh-CN"/>
              </w:rPr>
              <w:t>合同签订—采购产品—产品检验—产品交付—客户签收—售后服务</w:t>
            </w:r>
          </w:p>
          <w:p>
            <w:pPr>
              <w:spacing w:line="240" w:lineRule="exact"/>
              <w:ind w:firstLine="210" w:firstLineChars="100"/>
              <w:rPr>
                <w:rFonts w:hint="eastAsia" w:ascii="宋体" w:hAnsi="宋体"/>
                <w:color w:val="000000" w:themeColor="text1"/>
                <w:lang w:val="en-US" w:eastAsia="zh-CN"/>
              </w:rPr>
            </w:pPr>
            <w:r>
              <w:rPr>
                <w:rFonts w:hint="eastAsia" w:ascii="宋体" w:hAnsi="宋体"/>
                <w:color w:val="000000" w:themeColor="text1"/>
                <w:lang w:val="en-US" w:eastAsia="zh-CN"/>
              </w:rPr>
              <w:t>需确认过程：销售服务过程，也是关键过程</w:t>
            </w:r>
          </w:p>
          <w:p>
            <w:pPr>
              <w:spacing w:line="240" w:lineRule="exact"/>
              <w:ind w:firstLine="210" w:firstLineChars="100"/>
              <w:rPr>
                <w:rFonts w:hint="eastAsia" w:ascii="宋体" w:hAnsi="宋体"/>
                <w:color w:val="000000" w:themeColor="text1"/>
                <w:lang w:val="en-US" w:eastAsia="zh-CN"/>
              </w:rPr>
            </w:pPr>
            <w:r>
              <w:rPr>
                <w:rFonts w:hint="eastAsia" w:ascii="宋体" w:hAnsi="宋体"/>
                <w:color w:val="000000" w:themeColor="text1"/>
                <w:lang w:val="en-US" w:eastAsia="zh-CN"/>
              </w:rPr>
              <w:t>外包过程：无</w:t>
            </w:r>
          </w:p>
          <w:p>
            <w:pPr>
              <w:spacing w:line="240" w:lineRule="exact"/>
              <w:ind w:firstLine="210" w:firstLineChars="100"/>
              <w:rPr>
                <w:rFonts w:hint="eastAsia" w:ascii="宋体" w:hAnsi="宋体"/>
                <w:sz w:val="21"/>
                <w:szCs w:val="21"/>
                <w:lang w:eastAsia="zh-CN"/>
              </w:rPr>
            </w:pPr>
            <w:r>
              <w:rPr>
                <w:rFonts w:hint="eastAsia" w:ascii="宋体" w:hAnsi="宋体" w:cs="Times New Roman"/>
                <w:color w:val="000000" w:themeColor="text1"/>
                <w:highlight w:val="none"/>
                <w:lang w:eastAsia="zh-CN"/>
              </w:rPr>
              <w:t>无不适用条款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pStyle w:val="12"/>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2"/>
              </w:numPr>
              <w:tabs>
                <w:tab w:val="left" w:pos="540"/>
              </w:tabs>
              <w:spacing w:line="300" w:lineRule="exact"/>
              <w:ind w:firstLineChars="0"/>
              <w:rPr>
                <w:b/>
                <w:color w:val="000000" w:themeColor="text1"/>
                <w:sz w:val="14"/>
                <w:szCs w:val="14"/>
              </w:rPr>
            </w:pPr>
            <w:r>
              <w:rPr>
                <w:rFonts w:hint="eastAsia" w:ascii="宋体" w:hAnsi="宋体"/>
                <w:b/>
                <w:color w:val="000000" w:themeColor="text1"/>
                <w:szCs w:val="21"/>
              </w:rPr>
              <w:t>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color w:val="000000"/>
                <w:szCs w:val="21"/>
              </w:rPr>
              <w:t>质</w:t>
            </w:r>
            <w:r>
              <w:rPr>
                <w:rFonts w:hint="eastAsia" w:ascii="宋体" w:hAnsi="宋体" w:cs="宋体"/>
                <w:color w:val="000000"/>
                <w:kern w:val="0"/>
                <w:szCs w:val="21"/>
              </w:rPr>
              <w:t>量目标：</w:t>
            </w:r>
          </w:p>
          <w:p>
            <w:pPr>
              <w:pStyle w:val="3"/>
              <w:numPr>
                <w:ilvl w:val="0"/>
                <w:numId w:val="3"/>
              </w:numPr>
              <w:tabs>
                <w:tab w:val="left" w:pos="1260"/>
              </w:tabs>
              <w:ind w:left="1260"/>
              <w:rPr>
                <w:rFonts w:hint="eastAsia" w:ascii="宋体" w:hAnsi="宋体" w:eastAsia="宋体" w:cs="宋体"/>
                <w:color w:val="000000"/>
                <w:kern w:val="2"/>
                <w:sz w:val="21"/>
                <w:szCs w:val="21"/>
                <w:lang w:val="en-US" w:eastAsia="zh-CN" w:bidi="ar-SA"/>
              </w:rPr>
            </w:pPr>
            <w:r>
              <w:rPr>
                <w:rFonts w:hint="eastAsia" w:hAnsi="宋体" w:cs="宋体"/>
                <w:color w:val="auto"/>
                <w:kern w:val="2"/>
                <w:sz w:val="21"/>
                <w:szCs w:val="21"/>
                <w:lang w:val="en-US" w:eastAsia="zh-CN" w:bidi="ar-SA"/>
              </w:rPr>
              <w:t>销售产品</w:t>
            </w:r>
            <w:r>
              <w:rPr>
                <w:rFonts w:hint="eastAsia" w:ascii="宋体" w:hAnsi="宋体" w:eastAsia="宋体" w:cs="宋体"/>
                <w:color w:val="auto"/>
                <w:kern w:val="2"/>
                <w:sz w:val="21"/>
                <w:szCs w:val="21"/>
                <w:lang w:val="en-US" w:eastAsia="zh-CN" w:bidi="ar-SA"/>
              </w:rPr>
              <w:t>合格率</w:t>
            </w:r>
            <w:r>
              <w:rPr>
                <w:rFonts w:hint="eastAsia" w:ascii="宋体" w:hAnsi="宋体" w:eastAsia="宋体" w:cs="宋体"/>
                <w:color w:val="000000"/>
                <w:kern w:val="2"/>
                <w:sz w:val="21"/>
                <w:szCs w:val="21"/>
                <w:lang w:val="en-US" w:eastAsia="zh-CN" w:bidi="ar-SA"/>
              </w:rPr>
              <w:t>≥98%；</w:t>
            </w:r>
          </w:p>
          <w:p>
            <w:pPr>
              <w:pStyle w:val="3"/>
              <w:numPr>
                <w:ilvl w:val="0"/>
                <w:numId w:val="3"/>
              </w:numPr>
              <w:tabs>
                <w:tab w:val="left" w:pos="1260"/>
              </w:tabs>
              <w:ind w:left="126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产品按期交付率≥98%；</w:t>
            </w:r>
          </w:p>
          <w:p>
            <w:pPr>
              <w:pStyle w:val="3"/>
              <w:numPr>
                <w:ilvl w:val="0"/>
                <w:numId w:val="3"/>
              </w:numPr>
              <w:tabs>
                <w:tab w:val="left" w:pos="1260"/>
                <w:tab w:val="clear" w:pos="1212"/>
              </w:tabs>
              <w:ind w:left="1260" w:leftChars="0" w:hanging="360" w:firstLineChars="0"/>
              <w:rPr>
                <w:rFonts w:ascii="宋体" w:hAnsi="宋体"/>
                <w:b/>
                <w:color w:val="000000" w:themeColor="text1"/>
              </w:rPr>
            </w:pPr>
            <w:r>
              <w:rPr>
                <w:rFonts w:hint="eastAsia" w:ascii="宋体" w:hAnsi="宋体" w:eastAsia="宋体" w:cs="宋体"/>
                <w:color w:val="000000"/>
                <w:kern w:val="2"/>
                <w:sz w:val="21"/>
                <w:szCs w:val="21"/>
                <w:lang w:val="en-US" w:eastAsia="zh-CN" w:bidi="ar-SA"/>
              </w:rPr>
              <w:t>顾客满意度90分以上。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12</w:t>
            </w:r>
            <w:r>
              <w:rPr>
                <w:rFonts w:hint="eastAsia" w:ascii="宋体" w:hAnsi="宋体" w:cs="宋体"/>
                <w:color w:val="000000" w:themeColor="text1"/>
              </w:rPr>
              <w:t>月</w:t>
            </w:r>
            <w:r>
              <w:rPr>
                <w:rFonts w:hint="eastAsia" w:ascii="宋体" w:hAnsi="宋体" w:cs="宋体"/>
                <w:color w:val="000000" w:themeColor="text1"/>
                <w:lang w:val="en-US" w:eastAsia="zh-CN"/>
              </w:rPr>
              <w:t>01</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人力资源的简要说明</w:t>
            </w:r>
            <w:r>
              <w:rPr>
                <w:rFonts w:hint="eastAsia"/>
                <w:b/>
                <w:color w:val="000000" w:themeColor="text1"/>
                <w:sz w:val="20"/>
                <w:szCs w:val="20"/>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w:t>
            </w:r>
          </w:p>
          <w:p>
            <w:pPr>
              <w:tabs>
                <w:tab w:val="left" w:pos="2552"/>
              </w:tabs>
              <w:spacing w:line="0" w:lineRule="atLeast"/>
              <w:ind w:firstLine="420" w:firstLineChars="200"/>
              <w:rPr>
                <w:rFonts w:ascii="宋体" w:hAnsi="宋体"/>
                <w:bCs/>
                <w:iCs/>
                <w:color w:val="000000" w:themeColor="text1"/>
                <w:szCs w:val="22"/>
                <w14:textFill>
                  <w14:solidFill>
                    <w14:schemeClr w14:val="tx1"/>
                  </w14:solidFill>
                </w14:textFill>
              </w:rPr>
            </w:pPr>
            <w:r>
              <w:rPr>
                <w:rFonts w:hint="eastAsia" w:ascii="宋体" w:hAnsi="宋体"/>
                <w:bCs/>
                <w:iCs/>
                <w:color w:val="000000" w:themeColor="text1"/>
                <w14:textFill>
                  <w14:solidFill>
                    <w14:schemeClr w14:val="tx1"/>
                  </w14:solidFill>
                </w14:textFill>
              </w:rPr>
              <w:t>组</w:t>
            </w:r>
            <w:r>
              <w:rPr>
                <w:rFonts w:hint="eastAsia" w:ascii="宋体" w:hAnsi="宋体"/>
                <w:bCs/>
                <w:iCs/>
                <w:color w:val="000000" w:themeColor="text1"/>
                <w:szCs w:val="22"/>
                <w14:textFill>
                  <w14:solidFill>
                    <w14:schemeClr w14:val="tx1"/>
                  </w14:solidFill>
                </w14:textFill>
              </w:rPr>
              <w:t>织按管理体系需求配置了充足的人员、设施等资源，并建立维持了</w:t>
            </w:r>
            <w:r>
              <w:rPr>
                <w:rFonts w:hint="eastAsia" w:ascii="宋体" w:hAnsi="宋体"/>
                <w:color w:val="000000" w:themeColor="text1"/>
                <w:szCs w:val="21"/>
                <w14:textFill>
                  <w14:solidFill>
                    <w14:schemeClr w14:val="tx1"/>
                  </w14:solidFill>
                </w14:textFill>
              </w:rPr>
              <w:t>产品的生产</w:t>
            </w:r>
            <w:r>
              <w:rPr>
                <w:rFonts w:hint="eastAsia" w:ascii="宋体" w:hAnsi="宋体"/>
                <w:bCs/>
                <w:iCs/>
                <w:color w:val="000000" w:themeColor="text1"/>
                <w:szCs w:val="22"/>
                <w14:textFill>
                  <w14:solidFill>
                    <w14:schemeClr w14:val="tx1"/>
                  </w14:solidFill>
                </w14:textFill>
              </w:rPr>
              <w:t>及相关服务运行环境，可以维持管理体系的正常运行。</w:t>
            </w:r>
          </w:p>
          <w:p>
            <w:pPr>
              <w:spacing w:line="300" w:lineRule="exact"/>
              <w:rPr>
                <w:rFonts w:ascii="宋体" w:hAnsi="宋体"/>
                <w:b/>
                <w:color w:val="000000" w:themeColor="text1"/>
                <w:sz w:val="20"/>
                <w:szCs w:val="20"/>
                <w14:textFill>
                  <w14:solidFill>
                    <w14:schemeClr w14:val="tx1"/>
                  </w14:solidFill>
                </w14:textFill>
              </w:rPr>
            </w:pPr>
            <w:r>
              <w:rPr>
                <w:rFonts w:hint="eastAsia" w:ascii="宋体" w:hAnsi="宋体"/>
                <w:bCs/>
                <w:iCs/>
                <w:color w:val="000000" w:themeColor="text1"/>
                <w14:textFill>
                  <w14:solidFill>
                    <w14:schemeClr w14:val="tx1"/>
                  </w14:solidFill>
                </w14:textFill>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设备设施（包括信息系统）、</w:t>
            </w:r>
          </w:p>
          <w:p>
            <w:pPr>
              <w:spacing w:line="400" w:lineRule="exact"/>
              <w:ind w:firstLine="420" w:firstLineChars="200"/>
              <w:rPr>
                <w:rFonts w:ascii="宋体" w:hAnsi="宋体"/>
                <w:b/>
                <w:color w:val="000000" w:themeColor="text1"/>
                <w:sz w:val="20"/>
                <w:szCs w:val="20"/>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组织为租赁的办公场地，</w:t>
            </w:r>
            <w:r>
              <w:rPr>
                <w:rFonts w:hint="eastAsia" w:ascii="宋体" w:hAnsi="宋体"/>
                <w:color w:val="000000" w:themeColor="text1"/>
                <w:szCs w:val="21"/>
                <w:highlight w:val="none"/>
                <w14:textFill>
                  <w14:solidFill>
                    <w14:schemeClr w14:val="tx1"/>
                  </w14:solidFill>
                </w14:textFill>
              </w:rPr>
              <w:t>办公面积</w:t>
            </w:r>
            <w:r>
              <w:rPr>
                <w:rFonts w:hint="eastAsia" w:ascii="宋体" w:hAnsi="宋体"/>
                <w:color w:val="000000" w:themeColor="text1"/>
                <w:szCs w:val="21"/>
                <w:highlight w:val="none"/>
                <w:lang w:val="en-US" w:eastAsia="zh-CN"/>
                <w14:textFill>
                  <w14:solidFill>
                    <w14:schemeClr w14:val="tx1"/>
                  </w14:solidFill>
                </w14:textFill>
              </w:rPr>
              <w:t>130</w:t>
            </w:r>
            <w:r>
              <w:rPr>
                <w:rFonts w:hint="eastAsia" w:ascii="宋体" w:hAnsi="宋体"/>
                <w:color w:val="000000" w:themeColor="text1"/>
                <w:szCs w:val="21"/>
                <w:highlight w:val="none"/>
                <w14:textFill>
                  <w14:solidFill>
                    <w14:schemeClr w14:val="tx1"/>
                  </w14:solidFill>
                </w14:textFill>
              </w:rPr>
              <w:t>平方左右</w:t>
            </w:r>
            <w:r>
              <w:rPr>
                <w:rFonts w:hint="eastAsia"/>
                <w:color w:val="000000" w:themeColor="text1"/>
                <w:sz w:val="21"/>
                <w:szCs w:val="21"/>
                <w:highlight w:val="none"/>
                <w:lang w:val="en-US"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公司设置</w:t>
            </w:r>
            <w:r>
              <w:rPr>
                <w:rFonts w:hint="eastAsia" w:ascii="宋体" w:hAnsi="宋体"/>
                <w:color w:val="000000" w:themeColor="text1"/>
                <w:szCs w:val="21"/>
                <w:highlight w:val="none"/>
                <w:lang w:val="en-US" w:eastAsia="zh-CN"/>
                <w14:textFill>
                  <w14:solidFill>
                    <w14:schemeClr w14:val="tx1"/>
                  </w14:solidFill>
                </w14:textFill>
              </w:rPr>
              <w:t>有临时存放</w:t>
            </w:r>
            <w:r>
              <w:rPr>
                <w:rFonts w:hint="eastAsia" w:ascii="宋体" w:hAnsi="宋体"/>
                <w:color w:val="000000" w:themeColor="text1"/>
                <w:szCs w:val="21"/>
                <w:highlight w:val="none"/>
                <w14:textFill>
                  <w14:solidFill>
                    <w14:schemeClr w14:val="tx1"/>
                  </w14:solidFill>
                </w14:textFill>
              </w:rPr>
              <w:t>库房</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10平方</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为周转场地。主要生产设备包括</w:t>
            </w:r>
            <w:r>
              <w:rPr>
                <w:rFonts w:hint="eastAsia" w:ascii="宋体" w:hAnsi="宋体"/>
                <w:color w:val="000000" w:themeColor="text1"/>
                <w:szCs w:val="21"/>
                <w:highlight w:val="none"/>
                <w:lang w:eastAsia="zh-CN"/>
                <w14:textFill>
                  <w14:solidFill>
                    <w14:schemeClr w14:val="tx1"/>
                  </w14:solidFill>
                </w14:textFill>
              </w:rPr>
              <w:t>办公设施、电脑、打印机、办公耗材等</w:t>
            </w:r>
            <w:r>
              <w:rPr>
                <w:rFonts w:hint="eastAsia" w:ascii="宋体" w:hAnsi="宋体"/>
                <w:color w:val="000000" w:themeColor="text1"/>
                <w:szCs w:val="21"/>
                <w:highlight w:val="none"/>
                <w:lang w:val="en-US" w:eastAsia="zh-CN"/>
                <w14:textFill>
                  <w14:solidFill>
                    <w14:schemeClr w14:val="tx1"/>
                  </w14:solidFill>
                </w14:textFill>
              </w:rPr>
              <w:t>，可以满足产品研发、销售需要。特种设备：无。公</w:t>
            </w:r>
            <w:r>
              <w:rPr>
                <w:rFonts w:hint="eastAsia" w:ascii="宋体" w:hAnsi="宋体"/>
                <w:color w:val="000000" w:themeColor="text1"/>
                <w:szCs w:val="21"/>
                <w:lang w:val="en-US" w:eastAsia="zh-CN"/>
                <w14:textFill>
                  <w14:solidFill>
                    <w14:schemeClr w14:val="tx1"/>
                  </w14:solidFill>
                </w14:textFill>
              </w:rPr>
              <w:t>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szCs w:val="21"/>
              </w:rPr>
              <w:t>办公区域内</w:t>
            </w:r>
            <w:r>
              <w:rPr>
                <w:rFonts w:hint="eastAsia" w:ascii="宋体" w:hAnsi="宋体" w:cs="宋体"/>
                <w:szCs w:val="21"/>
              </w:rPr>
              <w:t>布置合理，通道畅通，照明设施齐全，均配备了消防设施等设施。办公室明亮，作业场所光线较充足。每月由</w:t>
            </w:r>
            <w:r>
              <w:rPr>
                <w:rFonts w:hint="eastAsia" w:ascii="宋体" w:hAnsi="宋体" w:cs="宋体"/>
                <w:szCs w:val="21"/>
                <w:lang w:val="en-US" w:eastAsia="zh-CN"/>
              </w:rPr>
              <w:t>综合部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color w:val="000000" w:themeColor="text1"/>
                <w:sz w:val="21"/>
                <w:szCs w:val="21"/>
                <w:highlight w:val="none"/>
                <w:lang w:eastAsia="zh-CN"/>
              </w:rPr>
            </w:pPr>
            <w:r>
              <w:rPr>
                <w:rFonts w:hint="eastAsia" w:ascii="宋体" w:hAnsi="宋体"/>
                <w:b/>
                <w:color w:val="000000" w:themeColor="text1"/>
                <w:sz w:val="20"/>
                <w:szCs w:val="20"/>
                <w:highlight w:val="none"/>
              </w:rPr>
              <w:t>监视和测量资源</w:t>
            </w:r>
          </w:p>
          <w:p>
            <w:pPr>
              <w:spacing w:line="400" w:lineRule="exact"/>
              <w:rPr>
                <w:rFonts w:ascii="宋体" w:hAnsi="宋体"/>
                <w:b/>
                <w:color w:val="000000" w:themeColor="text1"/>
                <w:sz w:val="20"/>
                <w:szCs w:val="20"/>
                <w:highlight w:val="none"/>
              </w:rPr>
            </w:pPr>
            <w:r>
              <w:rPr>
                <w:rFonts w:hint="eastAsia" w:ascii="宋体" w:hAnsi="宋体"/>
                <w:color w:val="000000" w:themeColor="text1"/>
                <w:sz w:val="20"/>
                <w:szCs w:val="20"/>
                <w:highlight w:val="none"/>
              </w:rPr>
              <w:t>监视和测量设备</w:t>
            </w:r>
            <w:r>
              <w:rPr>
                <w:rFonts w:hint="eastAsia" w:ascii="宋体" w:hAnsi="宋体"/>
                <w:color w:val="000000" w:themeColor="text1"/>
                <w:sz w:val="20"/>
                <w:szCs w:val="20"/>
                <w:highlight w:val="none"/>
                <w:lang w:val="en-US" w:eastAsia="zh-CN"/>
              </w:rPr>
              <w:t>有：游标卡尺、数字万用表、数字示波器，不能提供有效的校准证书。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auto"/>
                <w:sz w:val="20"/>
                <w:szCs w:val="20"/>
              </w:rPr>
            </w:pPr>
            <w:r>
              <w:rPr>
                <w:rFonts w:hint="eastAsia" w:ascii="宋体" w:hAnsi="宋体"/>
                <w:b/>
                <w:color w:val="auto"/>
                <w:sz w:val="20"/>
                <w:szCs w:val="20"/>
              </w:rPr>
              <w:t>环保设施：</w:t>
            </w:r>
          </w:p>
          <w:p>
            <w:pPr>
              <w:spacing w:line="240" w:lineRule="exact"/>
              <w:rPr>
                <w:rFonts w:hint="default" w:ascii="宋体" w:hAnsi="宋体" w:eastAsia="宋体"/>
                <w:color w:val="FF0000"/>
                <w:sz w:val="20"/>
                <w:szCs w:val="20"/>
                <w:lang w:val="en-US" w:eastAsia="zh-CN"/>
              </w:rPr>
            </w:pPr>
            <w:r>
              <w:rPr>
                <w:rFonts w:hint="eastAsia" w:ascii="宋体" w:hAnsi="宋体"/>
                <w:color w:val="auto"/>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b/>
                <w:bCs/>
              </w:rPr>
            </w:pPr>
            <w:r>
              <w:rPr>
                <w:rFonts w:hint="eastAsia"/>
                <w:b/>
                <w:bCs/>
              </w:rPr>
              <w:t>职业健康安全设施：</w:t>
            </w:r>
          </w:p>
          <w:p>
            <w:pPr>
              <w:pStyle w:val="2"/>
              <w:rPr>
                <w:rFonts w:hint="eastAsia" w:eastAsia="宋体"/>
                <w:lang w:val="en-US" w:eastAsia="zh-CN"/>
              </w:rPr>
            </w:pPr>
            <w:r>
              <w:rPr>
                <w:rFonts w:hint="eastAsia" w:ascii="宋体" w:hAnsi="宋体"/>
                <w:b/>
                <w:bCs/>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ind w:firstLine="420" w:firstLineChars="200"/>
              <w:rPr>
                <w:rFonts w:hint="eastAsia" w:eastAsia="宋体"/>
                <w:b/>
                <w:color w:val="000000" w:themeColor="text1"/>
                <w:sz w:val="20"/>
                <w:szCs w:val="20"/>
                <w:lang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 QMS关键工序</w:t>
            </w:r>
            <w:r>
              <w:rPr>
                <w:rFonts w:hint="eastAsia" w:ascii="宋体" w:hAnsi="宋体" w:cs="宋体"/>
                <w:color w:val="000000"/>
                <w:szCs w:val="21"/>
                <w:lang w:eastAsia="zh-CN"/>
              </w:rPr>
              <w:t>：</w:t>
            </w:r>
            <w:r>
              <w:rPr>
                <w:rFonts w:hint="eastAsia" w:ascii="宋体" w:hAnsi="宋体" w:cs="宋体"/>
                <w:color w:val="000000"/>
                <w:szCs w:val="21"/>
                <w:lang w:val="en-US" w:eastAsia="zh-CN"/>
              </w:rPr>
              <w:t xml:space="preserve">销售服务过程   </w:t>
            </w:r>
            <w:r>
              <w:rPr>
                <w:rFonts w:hint="eastAsia" w:ascii="宋体" w:hAnsi="宋体" w:cs="宋体"/>
                <w:color w:val="000000"/>
                <w:szCs w:val="21"/>
              </w:rPr>
              <w:t>特殊过程</w:t>
            </w:r>
            <w:r>
              <w:rPr>
                <w:rFonts w:hint="eastAsia" w:ascii="宋体" w:hAnsi="宋体" w:cs="宋体"/>
                <w:color w:val="000000"/>
                <w:szCs w:val="21"/>
                <w:lang w:eastAsia="zh-CN"/>
              </w:rPr>
              <w:t>：</w:t>
            </w:r>
            <w:r>
              <w:rPr>
                <w:rFonts w:hint="eastAsia" w:ascii="宋体" w:hAnsi="宋体" w:cs="宋体"/>
                <w:color w:val="000000"/>
                <w:szCs w:val="21"/>
                <w:lang w:val="en-US" w:eastAsia="zh-CN"/>
              </w:rPr>
              <w:t>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制定并实施了服务质量评价规定，规定了公司各管理层次和品质</w:t>
            </w:r>
            <w:r>
              <w:rPr>
                <w:rFonts w:hint="eastAsia" w:ascii="宋体" w:hAnsi="宋体" w:cs="宋体"/>
                <w:color w:val="000000"/>
                <w:szCs w:val="21"/>
                <w:lang w:val="en-US" w:eastAsia="zh-CN"/>
              </w:rPr>
              <w:t>管理</w:t>
            </w:r>
            <w:r>
              <w:rPr>
                <w:rFonts w:hint="eastAsia" w:ascii="宋体" w:hAnsi="宋体" w:cs="宋体"/>
                <w:color w:val="000000"/>
                <w:szCs w:val="21"/>
              </w:rPr>
              <w:t>部门在各阶段对服务质量实施检查与验收的管理要求。内容基本具备全面性、系统性及可操作性。质量检查与验收交付客户时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 xml:space="preserve">10. 对特种设备的维护; </w:t>
            </w:r>
            <w:r>
              <w:rPr>
                <w:rFonts w:hint="eastAsia"/>
                <w:b/>
                <w:sz w:val="20"/>
                <w:szCs w:val="20"/>
                <w:highlight w:val="none"/>
              </w:rPr>
              <w:t>（适用时）</w:t>
            </w:r>
          </w:p>
          <w:p>
            <w:pPr>
              <w:spacing w:line="240" w:lineRule="exact"/>
              <w:rPr>
                <w:rFonts w:hint="eastAsia" w:eastAsia="宋体"/>
                <w:b/>
                <w:color w:val="000000" w:themeColor="text1"/>
                <w:sz w:val="20"/>
                <w:szCs w:val="20"/>
                <w:highlight w:val="none"/>
                <w:lang w:eastAsia="zh-CN"/>
              </w:rPr>
            </w:pPr>
            <w:r>
              <w:rPr>
                <w:rFonts w:hint="eastAsia" w:cs="Times New Roman"/>
                <w:b/>
                <w:color w:val="000000" w:themeColor="text1"/>
                <w:sz w:val="20"/>
                <w:szCs w:val="2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w:t>
            </w:r>
            <w:r>
              <w:rPr>
                <w:rFonts w:hint="eastAsia" w:ascii="宋体" w:hAnsi="宋体" w:cs="宋体"/>
                <w:color w:val="000000" w:themeColor="text1"/>
                <w:szCs w:val="21"/>
              </w:rPr>
              <w:t>能</w:t>
            </w:r>
            <w:r>
              <w:rPr>
                <w:rFonts w:hint="eastAsia" w:ascii="宋体" w:hAnsi="宋体" w:cs="宋体"/>
                <w:color w:val="auto"/>
                <w:szCs w:val="21"/>
              </w:rPr>
              <w:t>部门和层次，规定了目标值、计算方法、责任部门、检查人、考核频次等。同时，质量目标得</w:t>
            </w:r>
            <w:r>
              <w:rPr>
                <w:rFonts w:hint="eastAsia" w:ascii="宋体" w:hAnsi="宋体" w:cs="宋体"/>
                <w:color w:val="auto"/>
                <w:szCs w:val="21"/>
                <w:highlight w:val="none"/>
              </w:rPr>
              <w:t>到沟通和监视评价，通过数据的汇总统计、描述性统计等方法对目标进行了测量，总体已达到或超过了规定的目标值。通过20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2021年4</w:t>
            </w:r>
            <w:r>
              <w:rPr>
                <w:rFonts w:hint="eastAsia" w:ascii="宋体" w:hAnsi="宋体" w:cs="宋体"/>
                <w:color w:val="auto"/>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themeColor="text1"/>
                <w:szCs w:val="21"/>
              </w:rPr>
              <w:t>公司建立了顾客满意度监视和测量控制程序，对顾客投诉处理及顾客满意度评价做了明确的规定，并按规定对顾客反馈及时处理，但在顾客</w:t>
            </w:r>
            <w:r>
              <w:rPr>
                <w:rFonts w:hint="eastAsia" w:ascii="宋体" w:hAnsi="宋体" w:cs="宋体"/>
                <w:color w:val="auto"/>
                <w:szCs w:val="21"/>
              </w:rPr>
              <w:t>反馈</w:t>
            </w:r>
            <w:r>
              <w:rPr>
                <w:rFonts w:hint="eastAsia" w:ascii="宋体" w:hAnsi="宋体" w:cs="宋体"/>
                <w:color w:val="auto"/>
                <w:szCs w:val="21"/>
                <w:highlight w:val="none"/>
              </w:rPr>
              <w:t>信息的利用上不够，需要改善。近年来未发生重大顾客投诉和产品质量事故。顾客满意度调查按规定实施，20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月实施，满意度评价</w:t>
            </w:r>
            <w:r>
              <w:rPr>
                <w:rFonts w:hint="eastAsia" w:ascii="宋体" w:hAnsi="宋体" w:cs="宋体"/>
                <w:color w:val="auto"/>
                <w:szCs w:val="21"/>
                <w:highlight w:val="none"/>
                <w:lang w:val="en-US" w:eastAsia="zh-CN"/>
              </w:rPr>
              <w:t>98分</w:t>
            </w:r>
            <w:r>
              <w:rPr>
                <w:rFonts w:hint="eastAsia" w:ascii="宋体" w:hAnsi="宋体" w:cs="宋体"/>
                <w:color w:val="auto"/>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rPr>
                <w:b/>
                <w:color w:val="FF0000"/>
                <w:sz w:val="20"/>
                <w:szCs w:val="20"/>
              </w:rPr>
            </w:pPr>
            <w:r>
              <w:rPr>
                <w:rFonts w:hint="eastAsia" w:ascii="宋体" w:hAnsi="宋体" w:cs="宋体"/>
                <w:szCs w:val="21"/>
              </w:rPr>
              <w:t>建立有《内部审核控制程序》，规定了内审频次一年一</w:t>
            </w:r>
            <w:r>
              <w:rPr>
                <w:rFonts w:hint="eastAsia" w:ascii="宋体" w:hAnsi="宋体" w:cs="宋体"/>
                <w:szCs w:val="21"/>
                <w:highlight w:val="none"/>
              </w:rPr>
              <w:t>次，内审时间</w:t>
            </w:r>
            <w:r>
              <w:rPr>
                <w:rFonts w:hint="eastAsia" w:ascii="宋体" w:hAnsi="宋体" w:cs="宋体"/>
                <w:szCs w:val="21"/>
                <w:highlight w:val="none"/>
                <w:lang w:eastAsia="zh-CN"/>
              </w:rPr>
              <w:t>：</w:t>
            </w:r>
            <w:r>
              <w:rPr>
                <w:rFonts w:hint="eastAsia"/>
                <w:color w:val="auto"/>
                <w:sz w:val="21"/>
                <w:szCs w:val="21"/>
                <w:highlight w:val="none"/>
                <w:lang w:eastAsia="zh-CN"/>
              </w:rPr>
              <w:t>202</w:t>
            </w:r>
            <w:r>
              <w:rPr>
                <w:rFonts w:hint="eastAsia"/>
                <w:color w:val="auto"/>
                <w:sz w:val="21"/>
                <w:szCs w:val="21"/>
                <w:highlight w:val="none"/>
                <w:lang w:val="en-US" w:eastAsia="zh-CN"/>
              </w:rPr>
              <w:t>1</w:t>
            </w:r>
            <w:r>
              <w:rPr>
                <w:rFonts w:hint="eastAsia"/>
                <w:color w:val="auto"/>
                <w:sz w:val="21"/>
                <w:szCs w:val="21"/>
                <w:highlight w:val="none"/>
                <w:lang w:eastAsia="zh-CN"/>
              </w:rPr>
              <w:t>年</w:t>
            </w:r>
            <w:r>
              <w:rPr>
                <w:rFonts w:hint="eastAsia"/>
                <w:color w:val="auto"/>
                <w:sz w:val="21"/>
                <w:szCs w:val="21"/>
                <w:highlight w:val="none"/>
                <w:lang w:val="en-US" w:eastAsia="zh-CN"/>
              </w:rPr>
              <w:t>3</w:t>
            </w:r>
            <w:r>
              <w:rPr>
                <w:rFonts w:hint="eastAsia"/>
                <w:color w:val="auto"/>
                <w:sz w:val="21"/>
                <w:szCs w:val="21"/>
                <w:highlight w:val="none"/>
                <w:lang w:eastAsia="zh-CN"/>
              </w:rPr>
              <w:t>月</w:t>
            </w:r>
            <w:r>
              <w:rPr>
                <w:rFonts w:hint="eastAsia"/>
                <w:color w:val="auto"/>
                <w:sz w:val="21"/>
                <w:szCs w:val="21"/>
                <w:highlight w:val="none"/>
                <w:lang w:val="en-US" w:eastAsia="zh-CN"/>
              </w:rPr>
              <w:t>26</w:t>
            </w:r>
            <w:r>
              <w:rPr>
                <w:rFonts w:hint="eastAsia"/>
                <w:color w:val="auto"/>
                <w:sz w:val="21"/>
                <w:szCs w:val="21"/>
                <w:highlight w:val="none"/>
                <w:lang w:eastAsia="zh-CN"/>
              </w:rPr>
              <w:t>日</w:t>
            </w:r>
            <w:r>
              <w:rPr>
                <w:rFonts w:hint="eastAsia" w:ascii="宋体" w:hAnsi="宋体" w:cs="宋体"/>
                <w:szCs w:val="21"/>
                <w:highlight w:val="none"/>
              </w:rPr>
              <w:t>，拟定了审核实施表，明确了内审范围，内审人员经培训合格上岗，能力满足要求，未出现审核本部门情况，内审不符合项</w:t>
            </w:r>
            <w:r>
              <w:rPr>
                <w:rFonts w:hint="eastAsia" w:ascii="宋体" w:hAnsi="宋体" w:cs="宋体"/>
                <w:szCs w:val="21"/>
                <w:highlight w:val="none"/>
                <w:lang w:val="en-US" w:eastAsia="zh-CN"/>
              </w:rPr>
              <w:t>1</w:t>
            </w:r>
            <w:r>
              <w:rPr>
                <w:rFonts w:hint="eastAsia" w:ascii="宋体" w:hAnsi="宋体" w:cs="宋体"/>
                <w:szCs w:val="21"/>
                <w:highlight w:val="none"/>
              </w:rPr>
              <w:t>项，</w:t>
            </w:r>
            <w:r>
              <w:rPr>
                <w:rFonts w:hint="eastAsia"/>
                <w:sz w:val="21"/>
                <w:szCs w:val="21"/>
                <w:lang w:eastAsia="zh-CN"/>
              </w:rPr>
              <w:t>涉及综合部</w:t>
            </w:r>
            <w:r>
              <w:rPr>
                <w:rFonts w:hint="eastAsia"/>
                <w:sz w:val="21"/>
                <w:szCs w:val="21"/>
                <w:lang w:val="en-US" w:eastAsia="zh-CN"/>
              </w:rPr>
              <w:t>8.5.1</w:t>
            </w:r>
            <w:r>
              <w:rPr>
                <w:rFonts w:hint="eastAsia"/>
                <w:sz w:val="21"/>
                <w:szCs w:val="21"/>
                <w:lang w:eastAsia="zh-CN"/>
              </w:rPr>
              <w:t>条款，不符合事实描述“特殊过程为销售服务过程，但未实施确认”</w:t>
            </w:r>
            <w:r>
              <w:rPr>
                <w:rFonts w:hint="eastAsia" w:ascii="宋体" w:hAnsi="宋体" w:cs="宋体"/>
                <w:szCs w:val="21"/>
                <w:highlight w:val="none"/>
              </w:rPr>
              <w:t>针对</w:t>
            </w:r>
            <w:r>
              <w:rPr>
                <w:rFonts w:hint="eastAsia" w:ascii="宋体" w:hAnsi="宋体" w:cs="宋体"/>
                <w:szCs w:val="21"/>
                <w:highlight w:val="none"/>
                <w:lang w:val="en-US" w:eastAsia="zh-CN"/>
              </w:rPr>
              <w:t>以上</w:t>
            </w:r>
            <w:r>
              <w:rPr>
                <w:rFonts w:hint="eastAsia" w:ascii="宋体" w:hAnsi="宋体" w:cs="宋体"/>
                <w:szCs w:val="21"/>
                <w:highlight w:val="none"/>
              </w:rPr>
              <w:t>不符合项，已及</w:t>
            </w:r>
            <w:r>
              <w:rPr>
                <w:rFonts w:hint="eastAsia"/>
                <w:szCs w:val="21"/>
                <w:highlight w:val="none"/>
              </w:rPr>
              <w:t>时采取纠正措施后，经内审员验证关闭。</w:t>
            </w:r>
            <w:r>
              <w:rPr>
                <w:rFonts w:hint="eastAsia" w:ascii="宋体" w:hAnsi="宋体" w:cs="宋体"/>
                <w:szCs w:val="21"/>
                <w:highlight w:val="none"/>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rPr>
              <w:t>4.管理评审（管理评审体系变更需求，纠正和预防措施、体</w:t>
            </w:r>
            <w:r>
              <w:rPr>
                <w:rFonts w:hint="eastAsia"/>
                <w:b/>
                <w:color w:val="000000" w:themeColor="text1"/>
                <w:sz w:val="20"/>
                <w:szCs w:val="20"/>
                <w:highlight w:val="none"/>
              </w:rPr>
              <w:t>系有效性等）</w:t>
            </w:r>
          </w:p>
          <w:p>
            <w:pPr>
              <w:spacing w:line="240" w:lineRule="exact"/>
              <w:ind w:firstLine="420" w:firstLineChars="200"/>
              <w:rPr>
                <w:b/>
                <w:color w:val="000000" w:themeColor="text1"/>
                <w:sz w:val="20"/>
                <w:szCs w:val="20"/>
              </w:rPr>
            </w:pPr>
            <w:r>
              <w:rPr>
                <w:rFonts w:hint="eastAsia" w:ascii="宋体" w:hAnsi="宋体" w:cs="宋体"/>
                <w:szCs w:val="21"/>
                <w:highlight w:val="none"/>
              </w:rPr>
              <w:t>管理评审频次为一年一次、本次管理评审于</w:t>
            </w:r>
            <w:r>
              <w:rPr>
                <w:rFonts w:hint="eastAsia"/>
                <w:highlight w:val="none"/>
                <w:lang w:eastAsia="zh-CN"/>
              </w:rPr>
              <w:t>2021年</w:t>
            </w:r>
            <w:r>
              <w:rPr>
                <w:rFonts w:hint="eastAsia"/>
                <w:highlight w:val="none"/>
                <w:lang w:val="en-US" w:eastAsia="zh-CN"/>
              </w:rPr>
              <w:t>0</w:t>
            </w:r>
            <w:r>
              <w:rPr>
                <w:rFonts w:hint="eastAsia"/>
                <w:highlight w:val="none"/>
                <w:lang w:eastAsia="zh-CN"/>
              </w:rPr>
              <w:t>4月</w:t>
            </w:r>
            <w:r>
              <w:rPr>
                <w:rFonts w:hint="eastAsia"/>
                <w:highlight w:val="none"/>
                <w:lang w:val="en-US" w:eastAsia="zh-CN"/>
              </w:rPr>
              <w:t>06</w:t>
            </w:r>
            <w:r>
              <w:rPr>
                <w:rFonts w:hint="eastAsia"/>
                <w:highlight w:val="none"/>
                <w:lang w:eastAsia="zh-CN"/>
              </w:rPr>
              <w:t>日</w:t>
            </w:r>
            <w:r>
              <w:rPr>
                <w:rFonts w:hint="eastAsia" w:ascii="宋体" w:hAnsi="宋体" w:cs="宋体"/>
                <w:szCs w:val="21"/>
                <w:highlight w:val="none"/>
              </w:rPr>
              <w:t>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highlight w:val="none"/>
                <w:lang w:eastAsia="zh-CN"/>
              </w:rPr>
              <w:t>输入、</w:t>
            </w:r>
            <w:r>
              <w:rPr>
                <w:rFonts w:hint="eastAsia" w:ascii="宋体" w:hAnsi="宋体" w:cs="宋体"/>
                <w:szCs w:val="21"/>
                <w:highlight w:val="none"/>
              </w:rPr>
              <w:t>输出</w:t>
            </w:r>
            <w:r>
              <w:rPr>
                <w:rFonts w:hint="eastAsia" w:ascii="宋体" w:hAnsi="宋体" w:cs="宋体"/>
                <w:szCs w:val="21"/>
              </w:rPr>
              <w:t>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b/>
                <w:color w:val="000000" w:themeColor="text1"/>
                <w:sz w:val="20"/>
                <w:szCs w:val="20"/>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auto"/>
                <w:spacing w:val="-20"/>
                <w:sz w:val="20"/>
                <w:szCs w:val="20"/>
              </w:rPr>
            </w:pPr>
            <w:r>
              <w:rPr>
                <w:rFonts w:hint="eastAsia"/>
                <w:b/>
                <w:color w:val="auto"/>
                <w:spacing w:val="-20"/>
                <w:sz w:val="20"/>
                <w:szCs w:val="20"/>
              </w:rPr>
              <w:t>2（近一年）重大事故、顾客/相关方投诉：：</w:t>
            </w:r>
          </w:p>
          <w:p>
            <w:pPr>
              <w:spacing w:line="240" w:lineRule="exact"/>
              <w:rPr>
                <w:b/>
                <w:color w:val="auto"/>
                <w:sz w:val="20"/>
                <w:szCs w:val="20"/>
              </w:rPr>
            </w:pPr>
            <w:r>
              <w:rPr>
                <w:rFonts w:hint="eastAsia"/>
                <w:b/>
                <w:color w:val="auto"/>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0"/>
              </w:numPr>
              <w:spacing w:line="240" w:lineRule="exact"/>
              <w:rPr>
                <w:rFonts w:hint="eastAsia"/>
                <w:b/>
                <w:color w:val="auto"/>
                <w:spacing w:val="-20"/>
                <w:sz w:val="20"/>
                <w:szCs w:val="20"/>
              </w:rPr>
            </w:pPr>
            <w:r>
              <w:rPr>
                <w:rFonts w:hint="eastAsia"/>
                <w:b/>
                <w:color w:val="auto"/>
                <w:spacing w:val="-20"/>
                <w:sz w:val="20"/>
                <w:szCs w:val="20"/>
                <w:lang w:val="en-US" w:eastAsia="zh-CN"/>
              </w:rPr>
              <w:t>3.</w:t>
            </w:r>
            <w:r>
              <w:rPr>
                <w:rFonts w:hint="eastAsia"/>
                <w:b/>
                <w:color w:val="auto"/>
                <w:spacing w:val="-20"/>
                <w:sz w:val="20"/>
                <w:szCs w:val="20"/>
              </w:rPr>
              <w:t>一</w:t>
            </w:r>
            <w:r>
              <w:rPr>
                <w:rFonts w:hint="eastAsia"/>
                <w:b/>
                <w:color w:val="auto"/>
                <w:spacing w:val="-20"/>
                <w:sz w:val="20"/>
                <w:szCs w:val="20"/>
              </w:rPr>
              <w:t>阶段提出问题的整改情况?</w:t>
            </w:r>
          </w:p>
          <w:p>
            <w:pPr>
              <w:spacing w:line="240" w:lineRule="exact"/>
              <w:rPr>
                <w:rFonts w:hint="default" w:eastAsia="宋体"/>
                <w:b/>
                <w:color w:val="auto"/>
                <w:spacing w:val="-20"/>
                <w:sz w:val="20"/>
                <w:szCs w:val="20"/>
                <w:lang w:val="en-US" w:eastAsia="zh-CN"/>
              </w:rPr>
            </w:pPr>
            <w:r>
              <w:rPr>
                <w:rFonts w:hint="eastAsia" w:ascii="宋体" w:hAnsi="宋体"/>
                <w:color w:val="auto"/>
                <w:sz w:val="20"/>
                <w:szCs w:val="20"/>
                <w:highlight w:val="none"/>
                <w:lang w:val="en-US" w:eastAsia="zh-CN"/>
              </w:rPr>
              <w:t>游标卡尺、数字万用表、数字示波器，不能提供有效的校准证书。二阶段审核时整改未完成。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auto"/>
                <w:sz w:val="20"/>
                <w:szCs w:val="20"/>
              </w:rPr>
            </w:pPr>
            <w:r>
              <w:rPr>
                <w:rFonts w:hint="eastAsia"/>
                <w:b/>
                <w:color w:val="auto"/>
                <w:sz w:val="20"/>
                <w:szCs w:val="20"/>
              </w:rPr>
              <w:t>4.创新情况</w:t>
            </w:r>
          </w:p>
          <w:p>
            <w:pPr>
              <w:spacing w:line="240" w:lineRule="exact"/>
              <w:rPr>
                <w:b/>
                <w:color w:val="auto"/>
                <w:sz w:val="20"/>
                <w:szCs w:val="20"/>
              </w:rPr>
            </w:pPr>
            <w:r>
              <w:rPr>
                <w:rFonts w:hint="eastAsia"/>
                <w:b/>
                <w:color w:val="auto"/>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auto"/>
          <w:sz w:val="20"/>
          <w:highlight w:val="none"/>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auto"/>
          <w:highlight w:val="none"/>
        </w:rPr>
      </w:pPr>
      <w:r>
        <w:rPr>
          <w:rFonts w:hint="eastAsia"/>
          <w:b/>
          <w:color w:val="auto"/>
          <w:highlight w:val="none"/>
        </w:rPr>
        <w:t>1. 本次审核共开具不符合项报告</w:t>
      </w:r>
      <w:r>
        <w:rPr>
          <w:rFonts w:hint="eastAsia"/>
          <w:b/>
          <w:color w:val="auto"/>
          <w:highlight w:val="none"/>
          <w:lang w:val="en-US" w:eastAsia="zh-CN"/>
        </w:rPr>
        <w:t>1</w:t>
      </w:r>
      <w:r>
        <w:rPr>
          <w:rFonts w:hint="eastAsia"/>
          <w:b/>
          <w:color w:val="auto"/>
          <w:highlight w:val="none"/>
        </w:rPr>
        <w:t>项；其中</w:t>
      </w:r>
      <w:r>
        <w:rPr>
          <w:b/>
          <w:color w:val="auto"/>
          <w:highlight w:val="none"/>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auto"/>
          <w:highlight w:val="none"/>
        </w:rPr>
        <w:t>严重不符合</w:t>
      </w:r>
      <w:r>
        <w:rPr>
          <w:rFonts w:hint="eastAsia"/>
          <w:b/>
          <w:color w:val="auto"/>
          <w:highlight w:val="none"/>
          <w:lang w:val="en-US" w:eastAsia="zh-CN"/>
        </w:rPr>
        <w:t>0</w:t>
      </w:r>
      <w:r>
        <w:rPr>
          <w:rFonts w:hint="eastAsia"/>
          <w:b/>
          <w:color w:val="auto"/>
          <w:highlight w:val="none"/>
        </w:rPr>
        <w:t>项，一般不符合</w:t>
      </w:r>
      <w:r>
        <w:rPr>
          <w:rFonts w:hint="eastAsia"/>
          <w:b/>
          <w:color w:val="auto"/>
          <w:highlight w:val="none"/>
          <w:lang w:val="en-US" w:eastAsia="zh-CN"/>
        </w:rPr>
        <w:t>0</w:t>
      </w:r>
      <w:r>
        <w:rPr>
          <w:rFonts w:hint="eastAsia"/>
          <w:b/>
          <w:color w:val="auto"/>
          <w:highlight w:val="none"/>
        </w:rPr>
        <w:t>项，观察项</w:t>
      </w:r>
      <w:r>
        <w:rPr>
          <w:rFonts w:hint="eastAsia"/>
          <w:b/>
          <w:color w:val="auto"/>
          <w:highlight w:val="none"/>
          <w:lang w:val="en-US" w:eastAsia="zh-CN"/>
        </w:rPr>
        <w:t>0</w:t>
      </w:r>
      <w:r>
        <w:rPr>
          <w:rFonts w:hint="eastAsia"/>
          <w:b/>
          <w:color w:val="auto"/>
          <w:highlight w:val="none"/>
        </w:rPr>
        <w:t>项分布在</w:t>
      </w:r>
      <w:r>
        <w:rPr>
          <w:rFonts w:hint="eastAsia"/>
          <w:b/>
          <w:color w:val="auto"/>
          <w:highlight w:val="none"/>
          <w:lang w:val="en-US" w:eastAsia="zh-CN"/>
        </w:rPr>
        <w:t>研发部</w:t>
      </w:r>
      <w:r>
        <w:rPr>
          <w:rFonts w:hint="eastAsia"/>
          <w:b/>
          <w:color w:val="auto"/>
          <w:highlight w:val="none"/>
        </w:rPr>
        <w:t>部门</w:t>
      </w:r>
      <w:r>
        <w:rPr>
          <w:rFonts w:hint="eastAsia"/>
          <w:b/>
          <w:color w:val="auto"/>
          <w:highlight w:val="none"/>
          <w:lang w:val="en-US" w:eastAsia="zh-CN"/>
        </w:rPr>
        <w:t>7.1.5</w:t>
      </w:r>
      <w:r>
        <w:rPr>
          <w:rFonts w:hint="eastAsia"/>
          <w:b/>
          <w:color w:val="auto"/>
          <w:highlight w:val="none"/>
        </w:rPr>
        <w:t>条款，分布见附件。（Q/J/E/S分开填写）</w:t>
      </w:r>
    </w:p>
    <w:p>
      <w:pPr>
        <w:tabs>
          <w:tab w:val="left" w:pos="215"/>
          <w:tab w:val="left" w:pos="430"/>
        </w:tabs>
        <w:spacing w:line="360" w:lineRule="auto"/>
        <w:ind w:left="-190" w:leftChars="-472" w:hanging="801" w:hangingChars="380"/>
        <w:rPr>
          <w:b/>
          <w:color w:val="000000" w:themeColor="text1"/>
          <w:highlight w:val="none"/>
        </w:rPr>
      </w:pPr>
      <w:r>
        <w:rPr>
          <w:rFonts w:hint="eastAsia"/>
          <w:b/>
          <w:bCs/>
          <w:color w:val="000000" w:themeColor="text1"/>
          <w:szCs w:val="28"/>
          <w:highlight w:val="none"/>
        </w:rPr>
        <w:t>2. 本次审核发现不符合及存在问题对管理体系实现目标的影响</w:t>
      </w:r>
      <w:r>
        <w:rPr>
          <w:rFonts w:hint="eastAsia"/>
          <w:b/>
          <w:color w:val="000000" w:themeColor="text1"/>
          <w:spacing w:val="-10"/>
          <w:szCs w:val="21"/>
          <w:highlight w:val="none"/>
        </w:rPr>
        <w:t>□</w:t>
      </w:r>
      <w:r>
        <w:rPr>
          <w:rFonts w:hint="eastAsia"/>
          <w:b/>
          <w:color w:val="000000" w:themeColor="text1"/>
          <w:highlight w:val="none"/>
        </w:rPr>
        <w:t>较大</w:t>
      </w:r>
      <w:r>
        <w:rPr>
          <w:rFonts w:hint="eastAsia"/>
          <w:b/>
          <w:color w:val="000000" w:themeColor="text1"/>
          <w:spacing w:val="-10"/>
          <w:szCs w:val="21"/>
          <w:highlight w:val="none"/>
        </w:rPr>
        <w:sym w:font="Wingdings 2" w:char="0052"/>
      </w:r>
      <w:r>
        <w:rPr>
          <w:rFonts w:hint="eastAsia"/>
          <w:b/>
          <w:color w:val="000000" w:themeColor="text1"/>
          <w:highlight w:val="none"/>
        </w:rPr>
        <w:t>不大</w:t>
      </w:r>
    </w:p>
    <w:p>
      <w:pPr>
        <w:tabs>
          <w:tab w:val="left" w:pos="215"/>
          <w:tab w:val="left" w:pos="430"/>
        </w:tabs>
        <w:spacing w:line="360" w:lineRule="auto"/>
        <w:ind w:left="-190" w:leftChars="-472" w:hanging="801" w:hangingChars="380"/>
        <w:rPr>
          <w:b/>
          <w:color w:val="000000" w:themeColor="text1"/>
          <w:highlight w:val="none"/>
        </w:rPr>
      </w:pPr>
      <w:r>
        <w:rPr>
          <w:rFonts w:hint="eastAsia"/>
          <w:b/>
          <w:color w:val="000000" w:themeColor="text1"/>
          <w:highlight w:val="none"/>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eastAsia="zh-CN"/>
        </w:rPr>
      </w:pPr>
      <w:r>
        <w:rPr>
          <w:rFonts w:hint="eastAsia"/>
          <w:b/>
          <w:color w:val="000000" w:themeColor="text1"/>
          <w:spacing w:val="-10"/>
          <w:szCs w:val="21"/>
        </w:rPr>
        <w:sym w:font="Wingdings 2" w:char="0052"/>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eastAsia="zh-CN"/>
        </w:rPr>
        <w:t>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890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890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890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A3"/>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审核范围变更，</w:t>
            </w:r>
          </w:p>
          <w:p>
            <w:pPr>
              <w:spacing w:line="320" w:lineRule="exact"/>
              <w:rPr>
                <w:b/>
                <w:color w:val="000000" w:themeColor="text1"/>
                <w:spacing w:val="-10"/>
                <w:sz w:val="22"/>
                <w:szCs w:val="22"/>
              </w:rPr>
            </w:pPr>
            <w:r>
              <w:rPr>
                <w:rFonts w:ascii="宋体" w:hAnsi="宋体"/>
                <w:b/>
                <w:color w:val="000000" w:themeColor="text1"/>
              </w:rPr>
              <w:t>QMS:</w:t>
            </w:r>
            <w:bookmarkStart w:id="23" w:name="_GoBack"/>
            <w:bookmarkEnd w:id="23"/>
            <w:r>
              <w:rPr>
                <w:rFonts w:hint="eastAsia" w:ascii="宋体" w:hAnsi="宋体"/>
                <w:szCs w:val="21"/>
              </w:rPr>
              <w:t xml:space="preserve">车用电子产品的研发、销售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90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8900" w:type="dxa"/>
            <w:tcBorders>
              <w:top w:val="single" w:color="auto" w:sz="4" w:space="0"/>
            </w:tcBorders>
          </w:tcPr>
          <w:p>
            <w:pPr>
              <w:spacing w:line="360" w:lineRule="auto"/>
              <w:rPr>
                <w:b/>
                <w:color w:val="000000" w:themeColor="text1"/>
              </w:rPr>
            </w:pPr>
          </w:p>
        </w:tc>
      </w:tr>
    </w:tbl>
    <w:p>
      <w:pPr>
        <w:pStyle w:val="7"/>
        <w:spacing w:line="360" w:lineRule="auto"/>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方正仿宋简体" w:hAnsi="Times New Roman" w:eastAsia="方正仿宋简体" w:cs="Times New Roman"/>
          <w:b/>
          <w:color w:val="000000" w:themeColor="text1"/>
          <w:kern w:val="2"/>
          <w:sz w:val="21"/>
          <w:szCs w:val="24"/>
          <w:lang w:val="en-US" w:eastAsia="zh-CN" w:bidi="ar-SA"/>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w:t>
      </w:r>
      <w:r>
        <w:rPr>
          <w:rFonts w:hint="eastAsia"/>
          <w:b/>
          <w:color w:val="000000" w:themeColor="text1"/>
          <w:lang w:val="en-US" w:eastAsia="zh-CN"/>
        </w:rPr>
        <w:t>60</w:t>
      </w:r>
      <w:r>
        <w:rPr>
          <w:rFonts w:hint="eastAsia"/>
          <w:b/>
          <w:color w:val="000000" w:themeColor="text1"/>
        </w:rPr>
        <w:t>天针对不符合原因制定并实施纠正措施。验证方式见不符合项报告。</w:t>
      </w:r>
    </w:p>
    <w:p>
      <w:pPr>
        <w:numPr>
          <w:ilvl w:val="0"/>
          <w:numId w:val="4"/>
        </w:numPr>
        <w:spacing w:before="156" w:beforeLines="50" w:after="156" w:afterLines="50"/>
        <w:ind w:left="62" w:leftChars="-405" w:hanging="912" w:hangingChars="326"/>
        <w:rPr>
          <w:rFonts w:hint="eastAsia"/>
          <w:b/>
          <w:color w:val="000000" w:themeColor="text1"/>
          <w:sz w:val="26"/>
          <w:szCs w:val="26"/>
          <w:lang w:eastAsia="zh-CN"/>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w:t>
      </w:r>
      <w:r>
        <w:rPr>
          <w:rFonts w:hint="eastAsia"/>
          <w:b/>
          <w:color w:val="000000" w:themeColor="text1"/>
          <w:sz w:val="26"/>
          <w:szCs w:val="26"/>
          <w:lang w:eastAsia="zh-CN"/>
        </w:rPr>
        <w:t>无</w:t>
      </w:r>
    </w:p>
    <w:p>
      <w:pPr>
        <w:numPr>
          <w:ilvl w:val="0"/>
          <w:numId w:val="0"/>
        </w:numPr>
        <w:spacing w:before="156" w:beforeLines="50" w:after="156" w:afterLines="50"/>
        <w:ind w:leftChars="-731" w:firstLine="663" w:firstLineChars="300"/>
        <w:rPr>
          <w:b/>
          <w:color w:val="000000" w:themeColor="text1"/>
          <w:sz w:val="16"/>
          <w:szCs w:val="16"/>
        </w:rPr>
      </w:pPr>
      <w:r>
        <w:rPr>
          <w:rFonts w:hint="eastAsia"/>
          <w:b/>
          <w:sz w:val="22"/>
          <w:szCs w:val="22"/>
        </w:rPr>
        <w:drawing>
          <wp:anchor distT="0" distB="0" distL="114300" distR="114300" simplePos="0" relativeHeight="251662336" behindDoc="0" locked="0" layoutInCell="1" allowOverlap="1">
            <wp:simplePos x="0" y="0"/>
            <wp:positionH relativeFrom="column">
              <wp:posOffset>1645920</wp:posOffset>
            </wp:positionH>
            <wp:positionV relativeFrom="paragraph">
              <wp:posOffset>327660</wp:posOffset>
            </wp:positionV>
            <wp:extent cx="523240" cy="396240"/>
            <wp:effectExtent l="0" t="0" r="10160" b="10160"/>
            <wp:wrapNone/>
            <wp:docPr id="4"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C:\Users\Administrator\Desktop\签名.jpg"/>
                    <pic:cNvPicPr>
                      <a:picLocks noChangeAspect="1"/>
                    </pic:cNvPicPr>
                  </pic:nvPicPr>
                  <pic:blipFill>
                    <a:blip r:embed="rId6"/>
                    <a:stretch>
                      <a:fillRect/>
                    </a:stretch>
                  </pic:blipFill>
                  <pic:spPr>
                    <a:xfrm>
                      <a:off x="0" y="0"/>
                      <a:ext cx="523240" cy="396240"/>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5" w:firstLineChars="250"/>
        <w:rPr>
          <w:b/>
          <w:color w:val="000000" w:themeColor="text1"/>
        </w:rPr>
      </w:pPr>
      <w:r>
        <w:drawing>
          <wp:anchor distT="0" distB="0" distL="114300" distR="114300" simplePos="0" relativeHeight="251661312" behindDoc="0" locked="0" layoutInCell="1" allowOverlap="1">
            <wp:simplePos x="0" y="0"/>
            <wp:positionH relativeFrom="column">
              <wp:posOffset>1557655</wp:posOffset>
            </wp:positionH>
            <wp:positionV relativeFrom="paragraph">
              <wp:posOffset>60960</wp:posOffset>
            </wp:positionV>
            <wp:extent cx="711835" cy="517525"/>
            <wp:effectExtent l="0" t="0" r="12065" b="3175"/>
            <wp:wrapNone/>
            <wp:docPr id="3"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24309\AppData\Local\Temp\WeChat Files\5990baca09647c352f1321b31faa90a.jpg"/>
                    <pic:cNvPicPr>
                      <a:picLocks noChangeAspect="1"/>
                    </pic:cNvPicPr>
                  </pic:nvPicPr>
                  <pic:blipFill>
                    <a:blip r:embed="rId7"/>
                    <a:stretch>
                      <a:fillRect/>
                    </a:stretch>
                  </pic:blipFill>
                  <pic:spPr>
                    <a:xfrm>
                      <a:off x="0" y="0"/>
                      <a:ext cx="711835" cy="517525"/>
                    </a:xfrm>
                    <a:prstGeom prst="rect">
                      <a:avLst/>
                    </a:prstGeom>
                    <a:noFill/>
                    <a:ln>
                      <a:noFill/>
                    </a:ln>
                  </pic:spPr>
                </pic:pic>
              </a:graphicData>
            </a:graphic>
          </wp:anchor>
        </w:drawing>
      </w:r>
    </w:p>
    <w:p>
      <w:pPr>
        <w:snapToGrid w:val="0"/>
        <w:spacing w:after="156" w:afterLines="50" w:line="360" w:lineRule="auto"/>
        <w:ind w:left="1" w:leftChars="-32" w:hanging="68" w:hangingChars="26"/>
        <w:rPr>
          <w:rFonts w:hint="eastAsia"/>
          <w:b/>
          <w:sz w:val="20"/>
        </w:rPr>
      </w:pPr>
      <w:r>
        <w:rPr>
          <w:rFonts w:hint="eastAsia"/>
          <w:b/>
          <w:color w:val="000000" w:themeColor="text1"/>
          <w:sz w:val="26"/>
          <w:szCs w:val="26"/>
        </w:rPr>
        <w:t>审核组组员（签名）：</w:t>
      </w:r>
      <w:r>
        <w:rPr>
          <w:rFonts w:hint="eastAsia"/>
          <w:b/>
          <w:color w:val="000000" w:themeColor="text1"/>
          <w:sz w:val="26"/>
          <w:szCs w:val="26"/>
          <w:lang w:val="en-US" w:eastAsia="zh-CN"/>
        </w:rPr>
        <w:t xml:space="preserve">                     </w:t>
      </w:r>
      <w:r>
        <w:rPr>
          <w:rFonts w:hint="eastAsia"/>
          <w:b/>
          <w:color w:val="000000" w:themeColor="text1"/>
        </w:rPr>
        <w:t>日期</w:t>
      </w:r>
      <w:r>
        <w:rPr>
          <w:rFonts w:hint="eastAsia"/>
          <w:b/>
          <w:color w:val="000000" w:themeColor="text1"/>
          <w:lang w:eastAsia="zh-CN"/>
        </w:rPr>
        <w:t>：</w:t>
      </w:r>
      <w:r>
        <w:rPr>
          <w:rFonts w:hint="eastAsia"/>
          <w:b/>
          <w:sz w:val="20"/>
        </w:rPr>
        <w:t>2021年05月2</w:t>
      </w:r>
      <w:r>
        <w:rPr>
          <w:rFonts w:hint="eastAsia"/>
          <w:b/>
          <w:sz w:val="20"/>
          <w:lang w:val="en-US" w:eastAsia="zh-CN"/>
        </w:rPr>
        <w:t>5</w:t>
      </w:r>
      <w:r>
        <w:rPr>
          <w:rFonts w:hint="eastAsia"/>
          <w:b/>
          <w:sz w:val="20"/>
        </w:rPr>
        <w:t>日</w:t>
      </w:r>
    </w:p>
    <w:p>
      <w:pPr>
        <w:snapToGrid w:val="0"/>
        <w:spacing w:line="360" w:lineRule="auto"/>
        <w:jc w:val="left"/>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871220</wp:posOffset>
            </wp:positionH>
            <wp:positionV relativeFrom="paragraph">
              <wp:posOffset>99695</wp:posOffset>
            </wp:positionV>
            <wp:extent cx="523240" cy="396240"/>
            <wp:effectExtent l="0" t="0" r="10160" b="10160"/>
            <wp:wrapNone/>
            <wp:docPr id="5"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C:\Users\Administrator\Desktop\签名.jpg"/>
                    <pic:cNvPicPr>
                      <a:picLocks noChangeAspect="1"/>
                    </pic:cNvPicPr>
                  </pic:nvPicPr>
                  <pic:blipFill>
                    <a:blip r:embed="rId6"/>
                    <a:stretch>
                      <a:fillRect/>
                    </a:stretch>
                  </pic:blipFill>
                  <pic:spPr>
                    <a:xfrm>
                      <a:off x="0" y="0"/>
                      <a:ext cx="523240" cy="396240"/>
                    </a:xfrm>
                    <a:prstGeom prst="rect">
                      <a:avLst/>
                    </a:prstGeom>
                    <a:noFill/>
                    <a:ln>
                      <a:noFill/>
                    </a:ln>
                  </pic:spPr>
                </pic:pic>
              </a:graphicData>
            </a:graphic>
          </wp:anchor>
        </w:drawing>
      </w:r>
      <w:r>
        <w:rPr>
          <w:rFonts w:hint="eastAsia"/>
          <w:b/>
          <w:color w:val="000000" w:themeColor="text1"/>
          <w:szCs w:val="21"/>
        </w:rPr>
        <w:t xml:space="preserve">组长签字:                             </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2"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2"/>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multilevel"/>
    <w:tmpl w:val="00000014"/>
    <w:lvl w:ilvl="0" w:tentative="0">
      <w:start w:val="1"/>
      <w:numFmt w:val="lowerLetter"/>
      <w:lvlText w:val="%1."/>
      <w:lvlJc w:val="left"/>
      <w:pPr>
        <w:tabs>
          <w:tab w:val="left" w:pos="1212"/>
        </w:tabs>
        <w:ind w:left="1212" w:hanging="360"/>
      </w:pPr>
      <w:rPr>
        <w:rFonts w:hint="eastAsia"/>
      </w:rPr>
    </w:lvl>
    <w:lvl w:ilvl="1" w:tentative="0">
      <w:start w:val="1"/>
      <w:numFmt w:val="lowerLetter"/>
      <w:lvlText w:val="%2)"/>
      <w:lvlJc w:val="left"/>
      <w:pPr>
        <w:tabs>
          <w:tab w:val="left" w:pos="1692"/>
        </w:tabs>
        <w:ind w:left="1692" w:hanging="420"/>
      </w:pPr>
    </w:lvl>
    <w:lvl w:ilvl="2" w:tentative="0">
      <w:start w:val="1"/>
      <w:numFmt w:val="lowerRoman"/>
      <w:lvlText w:val="%3."/>
      <w:lvlJc w:val="right"/>
      <w:pPr>
        <w:tabs>
          <w:tab w:val="left" w:pos="2112"/>
        </w:tabs>
        <w:ind w:left="2112" w:hanging="420"/>
      </w:pPr>
    </w:lvl>
    <w:lvl w:ilvl="3" w:tentative="0">
      <w:start w:val="1"/>
      <w:numFmt w:val="decimal"/>
      <w:lvlText w:val="%4."/>
      <w:lvlJc w:val="left"/>
      <w:pPr>
        <w:tabs>
          <w:tab w:val="left" w:pos="2532"/>
        </w:tabs>
        <w:ind w:left="2532" w:hanging="420"/>
      </w:pPr>
    </w:lvl>
    <w:lvl w:ilvl="4" w:tentative="0">
      <w:start w:val="1"/>
      <w:numFmt w:val="lowerLetter"/>
      <w:lvlText w:val="%5)"/>
      <w:lvlJc w:val="left"/>
      <w:pPr>
        <w:tabs>
          <w:tab w:val="left" w:pos="2952"/>
        </w:tabs>
        <w:ind w:left="2952" w:hanging="420"/>
      </w:pPr>
    </w:lvl>
    <w:lvl w:ilvl="5" w:tentative="0">
      <w:start w:val="1"/>
      <w:numFmt w:val="lowerRoman"/>
      <w:lvlText w:val="%6."/>
      <w:lvlJc w:val="right"/>
      <w:pPr>
        <w:tabs>
          <w:tab w:val="left" w:pos="3372"/>
        </w:tabs>
        <w:ind w:left="3372" w:hanging="420"/>
      </w:pPr>
    </w:lvl>
    <w:lvl w:ilvl="6" w:tentative="0">
      <w:start w:val="1"/>
      <w:numFmt w:val="decimal"/>
      <w:lvlText w:val="%7."/>
      <w:lvlJc w:val="left"/>
      <w:pPr>
        <w:tabs>
          <w:tab w:val="left" w:pos="3792"/>
        </w:tabs>
        <w:ind w:left="3792" w:hanging="420"/>
      </w:pPr>
    </w:lvl>
    <w:lvl w:ilvl="7" w:tentative="0">
      <w:start w:val="1"/>
      <w:numFmt w:val="lowerLetter"/>
      <w:lvlText w:val="%8)"/>
      <w:lvlJc w:val="left"/>
      <w:pPr>
        <w:tabs>
          <w:tab w:val="left" w:pos="4212"/>
        </w:tabs>
        <w:ind w:left="4212" w:hanging="420"/>
      </w:pPr>
    </w:lvl>
    <w:lvl w:ilvl="8" w:tentative="0">
      <w:start w:val="1"/>
      <w:numFmt w:val="lowerRoman"/>
      <w:lvlText w:val="%9."/>
      <w:lvlJc w:val="right"/>
      <w:pPr>
        <w:tabs>
          <w:tab w:val="left" w:pos="4632"/>
        </w:tabs>
        <w:ind w:left="4632" w:hanging="420"/>
      </w:p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E0C0174"/>
    <w:multiLevelType w:val="singleLevel"/>
    <w:tmpl w:val="6E0C0174"/>
    <w:lvl w:ilvl="0" w:tentative="0">
      <w:start w:val="13"/>
      <w:numFmt w:val="chineseCounting"/>
      <w:suff w:val="space"/>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0A59AD"/>
    <w:rsid w:val="021F7D37"/>
    <w:rsid w:val="09B2566A"/>
    <w:rsid w:val="13AB0411"/>
    <w:rsid w:val="19BA4584"/>
    <w:rsid w:val="1ED01ADF"/>
    <w:rsid w:val="1F2876BE"/>
    <w:rsid w:val="26140340"/>
    <w:rsid w:val="29C87E53"/>
    <w:rsid w:val="29EB77F6"/>
    <w:rsid w:val="47CF5BE9"/>
    <w:rsid w:val="48972D30"/>
    <w:rsid w:val="48D60F91"/>
    <w:rsid w:val="517B65BD"/>
    <w:rsid w:val="5FB53F0A"/>
    <w:rsid w:val="5FCB64D9"/>
    <w:rsid w:val="624B4E40"/>
    <w:rsid w:val="79E549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Plain Text"/>
    <w:basedOn w:val="1"/>
    <w:qFormat/>
    <w:uiPriority w:val="0"/>
    <w:pPr>
      <w:jc w:val="both"/>
    </w:pPr>
    <w:rPr>
      <w:rFonts w:ascii="宋体" w:hAnsi="Courier New" w:eastAsia="宋体"/>
      <w:szCs w:val="24"/>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3</TotalTime>
  <ScaleCrop>false</ScaleCrop>
  <LinksUpToDate>false</LinksUpToDate>
  <CharactersWithSpaces>5057</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小冉</cp:lastModifiedBy>
  <cp:lastPrinted>2019-05-13T03:19:00Z</cp:lastPrinted>
  <dcterms:modified xsi:type="dcterms:W3CDTF">2021-05-25T06:59:45Z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7FE7CE712131477C9A5933D2673CA1DA</vt:lpwstr>
  </property>
</Properties>
</file>