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重庆建熙电子科技有限公司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重庆建熙电子科技有限公司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7" w:name="注册地址"/>
            <w:r>
              <w:rPr>
                <w:rFonts w:ascii="宋体" w:hAnsi="宋体"/>
                <w:b/>
                <w:color w:val="000000" w:themeColor="text1"/>
                <w:sz w:val="20"/>
                <w:szCs w:val="20"/>
              </w:rPr>
              <w:t>重庆市江北区观音桥街道西环路8号2幢21-17</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重庆市北碚区金华路200号职教中心内</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周梦雅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18623696730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严光科</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hint="eastAsia"/>
                <w:b/>
                <w:color w:val="000000" w:themeColor="text1"/>
                <w:sz w:val="22"/>
                <w:szCs w:val="22"/>
              </w:rPr>
              <w:t>严光科</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周梦雅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电子产品、光纤产品的销售及进出口贸易</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eastAsia="zh-CN"/>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纠正和预防措施控制；策划管理；过程监控管理；监视和测量设备管理；服务过程管理；产品验收管理；不合格品控制；设备设施管理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eastAsia" w:ascii="宋体" w:hAnsi="宋体" w:eastAsia="宋体" w:cs="Times New Roman"/>
                <w:b/>
                <w:color w:val="000000" w:themeColor="text1"/>
                <w:kern w:val="2"/>
                <w:sz w:val="20"/>
                <w:szCs w:val="20"/>
                <w:u w:val="none"/>
                <w:lang w:val="en-US" w:eastAsia="zh-CN" w:bidi="ar-SA"/>
              </w:rPr>
            </w:pP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462"/>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462" w:type="dxa"/>
          </w:tcPr>
          <w:p>
            <w:pPr>
              <w:rPr>
                <w:b/>
                <w:color w:val="000000" w:themeColor="text1"/>
                <w:sz w:val="20"/>
                <w:szCs w:val="20"/>
              </w:rPr>
            </w:pPr>
            <w:r>
              <w:rPr>
                <w:rFonts w:hint="eastAsia"/>
                <w:b/>
                <w:color w:val="000000" w:themeColor="text1"/>
                <w:sz w:val="20"/>
                <w:szCs w:val="20"/>
              </w:rPr>
              <w:t>规格</w:t>
            </w:r>
          </w:p>
        </w:tc>
        <w:tc>
          <w:tcPr>
            <w:tcW w:w="3924" w:type="dxa"/>
          </w:tcPr>
          <w:p>
            <w:pPr>
              <w:rPr>
                <w:b/>
                <w:color w:val="000000" w:themeColor="text1"/>
                <w:sz w:val="20"/>
                <w:szCs w:val="20"/>
                <w:highlight w:val="yellow"/>
              </w:rPr>
            </w:pPr>
            <w:r>
              <w:rPr>
                <w:rFonts w:hint="eastAsia"/>
                <w:b/>
                <w:color w:val="000000" w:themeColor="text1"/>
                <w:sz w:val="20"/>
                <w:szCs w:val="20"/>
                <w:highlight w:val="yellow"/>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电子产品、光纤产品的销售及进出口贸易</w:t>
            </w:r>
          </w:p>
        </w:tc>
        <w:tc>
          <w:tcPr>
            <w:tcW w:w="2519" w:type="dxa"/>
          </w:tcPr>
          <w:p>
            <w:pPr>
              <w:rPr>
                <w:b/>
                <w:color w:val="000000" w:themeColor="text1"/>
                <w:sz w:val="20"/>
                <w:szCs w:val="20"/>
              </w:rPr>
            </w:pPr>
          </w:p>
        </w:tc>
        <w:tc>
          <w:tcPr>
            <w:tcW w:w="1462" w:type="dxa"/>
          </w:tcPr>
          <w:p>
            <w:pPr>
              <w:rPr>
                <w:b/>
                <w:color w:val="000000" w:themeColor="text1"/>
                <w:sz w:val="20"/>
                <w:szCs w:val="20"/>
              </w:rPr>
            </w:pPr>
          </w:p>
        </w:tc>
        <w:tc>
          <w:tcPr>
            <w:tcW w:w="3924" w:type="dxa"/>
          </w:tcPr>
          <w:p>
            <w:pPr>
              <w:widowControl/>
              <w:spacing w:line="400" w:lineRule="exact"/>
              <w:rPr>
                <w:b/>
                <w:color w:val="000000" w:themeColor="text1"/>
                <w:sz w:val="20"/>
                <w:szCs w:val="20"/>
                <w:highlight w:val="yellow"/>
              </w:rPr>
            </w:pPr>
            <w:r>
              <w:rPr>
                <w:rFonts w:hint="eastAsia" w:ascii="宋体" w:hAnsi="宋体"/>
                <w:sz w:val="21"/>
                <w:szCs w:val="21"/>
              </w:rPr>
              <w:t>中华人民共和国合同法、中华人民共和国</w:t>
            </w:r>
            <w:r>
              <w:rPr>
                <w:rFonts w:hint="eastAsia" w:ascii="宋体" w:hAnsi="宋体"/>
                <w:sz w:val="21"/>
                <w:szCs w:val="21"/>
                <w:lang w:eastAsia="zh-CN"/>
              </w:rPr>
              <w:t>消费者权益保护法</w:t>
            </w:r>
            <w:r>
              <w:rPr>
                <w:rFonts w:hint="eastAsia" w:ascii="宋体" w:hAnsi="宋体"/>
                <w:sz w:val="21"/>
                <w:szCs w:val="21"/>
              </w:rPr>
              <w:t>、中华人民共和国</w:t>
            </w:r>
            <w:r>
              <w:rPr>
                <w:rFonts w:hint="eastAsia" w:ascii="宋体" w:hAnsi="宋体"/>
                <w:sz w:val="21"/>
                <w:szCs w:val="21"/>
                <w:lang w:eastAsia="zh-CN"/>
              </w:rPr>
              <w:t>价格法</w:t>
            </w:r>
            <w:r>
              <w:rPr>
                <w:rFonts w:hint="eastAsia" w:ascii="宋体" w:hAnsi="宋体"/>
                <w:sz w:val="21"/>
                <w:szCs w:val="21"/>
              </w:rPr>
              <w:t>、中华人民共和国产品质量法。</w:t>
            </w:r>
            <w:r>
              <w:rPr>
                <w:rFonts w:hint="eastAsia" w:ascii="宋体" w:hAnsi="宋体"/>
                <w:color w:val="auto"/>
                <w:sz w:val="21"/>
                <w:szCs w:val="21"/>
                <w:lang w:val="en-US" w:eastAsia="zh-CN"/>
              </w:rPr>
              <w:t>GB/T 14733.12-2008电信术语 光纤通信、</w:t>
            </w:r>
            <w:r>
              <w:rPr>
                <w:rFonts w:hint="default" w:ascii="宋体" w:hAnsi="宋体"/>
                <w:color w:val="auto"/>
                <w:sz w:val="21"/>
                <w:szCs w:val="21"/>
                <w:lang w:val="en-US" w:eastAsia="zh-CN"/>
              </w:rPr>
              <w:t>DL/T 1894-2018</w:t>
            </w:r>
            <w:r>
              <w:rPr>
                <w:rFonts w:hint="eastAsia" w:ascii="宋体" w:hAnsi="宋体"/>
                <w:color w:val="auto"/>
                <w:sz w:val="21"/>
                <w:szCs w:val="21"/>
                <w:lang w:val="en-US" w:eastAsia="zh-CN"/>
              </w:rPr>
              <w:t>电力光纤传感器通用规范等标准及客户合同要求。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462" w:type="dxa"/>
          </w:tcPr>
          <w:p>
            <w:pPr>
              <w:rPr>
                <w:b/>
                <w:color w:val="000000" w:themeColor="text1"/>
                <w:sz w:val="20"/>
                <w:szCs w:val="20"/>
              </w:rPr>
            </w:pPr>
          </w:p>
        </w:tc>
        <w:tc>
          <w:tcPr>
            <w:tcW w:w="3924"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462" w:type="dxa"/>
          </w:tcPr>
          <w:p>
            <w:pPr>
              <w:rPr>
                <w:b/>
                <w:color w:val="000000" w:themeColor="text1"/>
                <w:sz w:val="20"/>
                <w:szCs w:val="20"/>
              </w:rPr>
            </w:pPr>
          </w:p>
        </w:tc>
        <w:tc>
          <w:tcPr>
            <w:tcW w:w="3924"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sz w:val="20"/>
        </w:rPr>
        <w:t>2021年05月20日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 w:val="21"/>
                <w:szCs w:val="21"/>
              </w:rPr>
              <w:t>诚信、务实、高效、坚卓</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color w:val="000000" w:themeColor="text1"/>
                <w:sz w:val="21"/>
                <w:szCs w:val="21"/>
                <w:lang w:val="en-US" w:eastAsia="zh-CN"/>
              </w:rPr>
            </w:pPr>
            <w:r>
              <w:rPr>
                <w:rFonts w:hint="eastAsia" w:ascii="宋体" w:hAnsi="宋体"/>
                <w:sz w:val="21"/>
                <w:szCs w:val="21"/>
                <w:lang w:eastAsia="zh-CN"/>
              </w:rPr>
              <w:t>质</w:t>
            </w:r>
            <w:r>
              <w:rPr>
                <w:rFonts w:hint="eastAsia" w:ascii="宋体" w:hAnsi="宋体"/>
                <w:color w:val="000000" w:themeColor="text1"/>
                <w:sz w:val="21"/>
                <w:szCs w:val="21"/>
                <w:lang w:eastAsia="zh-CN"/>
              </w:rPr>
              <w:t>量管理体系过程有：</w:t>
            </w:r>
          </w:p>
          <w:p>
            <w:pPr>
              <w:spacing w:line="360" w:lineRule="auto"/>
              <w:rPr>
                <w:rFonts w:hint="eastAsia" w:ascii="宋体" w:hAnsi="宋体" w:eastAsia="宋体"/>
                <w:color w:val="auto"/>
                <w:szCs w:val="22"/>
                <w:highlight w:val="none"/>
                <w:lang w:val="en-US" w:eastAsia="zh-CN"/>
              </w:rPr>
            </w:pPr>
            <w:r>
              <w:rPr>
                <w:rFonts w:hint="eastAsia" w:ascii="宋体" w:hAnsi="宋体" w:eastAsia="宋体"/>
                <w:color w:val="auto"/>
                <w:szCs w:val="22"/>
                <w:highlight w:val="none"/>
                <w:lang w:eastAsia="zh-CN"/>
              </w:rPr>
              <w:t>销售</w:t>
            </w:r>
            <w:r>
              <w:rPr>
                <w:rFonts w:hint="eastAsia" w:ascii="宋体" w:hAnsi="宋体"/>
                <w:color w:val="auto"/>
                <w:szCs w:val="22"/>
                <w:highlight w:val="none"/>
                <w:lang w:val="en-US" w:eastAsia="zh-CN"/>
              </w:rPr>
              <w:t>流</w:t>
            </w:r>
            <w:r>
              <w:rPr>
                <w:rFonts w:hint="eastAsia" w:ascii="宋体" w:hAnsi="宋体" w:eastAsia="宋体"/>
                <w:color w:val="auto"/>
                <w:szCs w:val="22"/>
                <w:highlight w:val="none"/>
                <w:lang w:eastAsia="zh-CN"/>
              </w:rPr>
              <w:t>程：</w:t>
            </w:r>
            <w:r>
              <w:rPr>
                <w:rFonts w:hint="eastAsia" w:ascii="宋体" w:hAnsi="宋体" w:eastAsia="宋体"/>
                <w:color w:val="auto"/>
                <w:szCs w:val="22"/>
                <w:highlight w:val="none"/>
                <w:lang w:val="en-US" w:eastAsia="zh-CN"/>
              </w:rPr>
              <w:t>顾客需求—签订销售协议—采购—货物报关（进出口贸易）—验收—交付—售后</w:t>
            </w:r>
          </w:p>
          <w:p>
            <w:pPr>
              <w:widowControl/>
              <w:spacing w:line="400" w:lineRule="exact"/>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关键过程：销售过程。</w:t>
            </w:r>
          </w:p>
          <w:p>
            <w:pPr>
              <w:widowControl/>
              <w:spacing w:line="400" w:lineRule="exact"/>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需确认/特殊过程：销售过程</w:t>
            </w:r>
          </w:p>
          <w:p>
            <w:pPr>
              <w:widowControl/>
              <w:spacing w:line="400" w:lineRule="exact"/>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highlight w:val="none"/>
                <w:lang w:eastAsia="zh-CN"/>
              </w:rPr>
              <w:t>8.3不适用，</w:t>
            </w:r>
            <w:r>
              <w:rPr>
                <w:rFonts w:hint="eastAsia" w:ascii="宋体" w:hAnsi="宋体" w:eastAsia="宋体"/>
                <w:highlight w:val="none"/>
                <w:lang w:eastAsia="zh-CN"/>
              </w:rPr>
              <w:t>根据组织产品和服务特点，按照顾客的购买要求出售商品，不需要进一步细化顾客的要求，整个销售过程不涉</w:t>
            </w:r>
            <w:r>
              <w:rPr>
                <w:rFonts w:hint="eastAsia" w:ascii="宋体" w:hAnsi="宋体" w:eastAsia="宋体"/>
                <w:lang w:eastAsia="zh-CN"/>
              </w:rPr>
              <w:t>及设计开发。故GB/T19001-2016标准8.3条款不适用，对于该条款的不适用不影响组织向顾客提供合格产品、服务及满足相关法律法规要求的能力和责任</w:t>
            </w:r>
            <w:r>
              <w:rPr>
                <w:rFonts w:hint="eastAsia" w:ascii="宋体" w:hAnsi="宋体" w:cs="Times New Roman"/>
                <w:color w:val="000000" w:themeColor="text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ind w:firstLine="480"/>
              <w:rPr>
                <w:rFonts w:hint="eastAsia" w:ascii="宋体" w:hAnsi="宋体" w:eastAsia="宋体" w:cs="宋体"/>
                <w:b w:val="0"/>
                <w:bCs w:val="0"/>
                <w:szCs w:val="24"/>
              </w:rPr>
            </w:pPr>
            <w:r>
              <w:rPr>
                <w:rFonts w:hint="eastAsia" w:ascii="宋体" w:hAnsi="宋体" w:eastAsia="宋体" w:cs="宋体"/>
                <w:b w:val="0"/>
                <w:bCs w:val="0"/>
                <w:szCs w:val="24"/>
                <w:lang w:eastAsia="zh-CN"/>
              </w:rPr>
              <w:t>a</w:t>
            </w:r>
            <w:r>
              <w:rPr>
                <w:rFonts w:hint="eastAsia" w:ascii="宋体" w:hAnsi="宋体" w:eastAsia="宋体" w:cs="宋体"/>
                <w:b w:val="0"/>
                <w:bCs w:val="0"/>
                <w:szCs w:val="24"/>
              </w:rPr>
              <w:t>、</w:t>
            </w:r>
            <w:r>
              <w:rPr>
                <w:rFonts w:hint="eastAsia" w:ascii="宋体" w:hAnsi="宋体" w:eastAsia="宋体" w:cs="宋体"/>
                <w:b w:val="0"/>
                <w:bCs w:val="0"/>
                <w:szCs w:val="24"/>
                <w:lang w:eastAsia="zh-CN"/>
              </w:rPr>
              <w:t>产品及时交付率100%</w:t>
            </w:r>
            <w:r>
              <w:rPr>
                <w:rFonts w:hint="eastAsia" w:ascii="宋体" w:hAnsi="宋体" w:eastAsia="宋体" w:cs="宋体"/>
                <w:b w:val="0"/>
                <w:bCs w:val="0"/>
                <w:szCs w:val="24"/>
              </w:rPr>
              <w:t>；</w:t>
            </w:r>
          </w:p>
          <w:p>
            <w:pPr>
              <w:pStyle w:val="3"/>
              <w:numPr>
                <w:ilvl w:val="0"/>
                <w:numId w:val="0"/>
              </w:numPr>
              <w:tabs>
                <w:tab w:val="left" w:pos="1260"/>
              </w:tabs>
              <w:ind w:firstLine="420" w:firstLineChars="200"/>
              <w:rPr>
                <w:rFonts w:ascii="宋体" w:hAnsi="宋体"/>
                <w:b/>
                <w:color w:val="000000" w:themeColor="text1"/>
              </w:rPr>
            </w:pPr>
            <w:r>
              <w:rPr>
                <w:rFonts w:hint="eastAsia" w:ascii="宋体" w:hAnsi="宋体" w:eastAsia="宋体" w:cs="宋体"/>
                <w:b w:val="0"/>
                <w:bCs w:val="0"/>
                <w:szCs w:val="24"/>
                <w:lang w:eastAsia="zh-CN"/>
              </w:rPr>
              <w:t>b</w:t>
            </w:r>
            <w:r>
              <w:rPr>
                <w:rFonts w:hint="eastAsia" w:ascii="宋体" w:hAnsi="宋体" w:eastAsia="宋体" w:cs="宋体"/>
                <w:b w:val="0"/>
                <w:bCs w:val="0"/>
                <w:szCs w:val="24"/>
              </w:rPr>
              <w:t>、</w:t>
            </w:r>
            <w:r>
              <w:rPr>
                <w:rFonts w:hint="eastAsia" w:ascii="宋体" w:hAnsi="宋体" w:eastAsia="宋体" w:cs="宋体"/>
                <w:b w:val="0"/>
                <w:bCs w:val="0"/>
                <w:szCs w:val="24"/>
                <w:lang w:eastAsia="zh-CN"/>
              </w:rPr>
              <w:t>客户满意度≥90分</w:t>
            </w:r>
            <w:r>
              <w:rPr>
                <w:rFonts w:hint="eastAsia" w:ascii="宋体" w:hAnsi="宋体"/>
                <w:bCs/>
                <w:sz w:val="21"/>
                <w:szCs w:val="21"/>
                <w:lang w:eastAsia="zh-CN"/>
              </w:rPr>
              <w:t xml:space="preserve"> </w:t>
            </w:r>
            <w:r>
              <w:rPr>
                <w:rFonts w:hint="eastAsia" w:ascii="宋体" w:hAnsi="宋体" w:eastAsia="宋体" w:cs="Times New Roman"/>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05</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color w:val="000000" w:themeColor="text1"/>
                <w:szCs w:val="22"/>
              </w:rPr>
            </w:pPr>
            <w:r>
              <w:rPr>
                <w:rFonts w:hint="eastAsia" w:ascii="宋体" w:hAnsi="宋体"/>
                <w:bCs/>
                <w:iCs/>
                <w:color w:val="000000" w:themeColor="text1"/>
              </w:rPr>
              <w:t>组</w:t>
            </w:r>
            <w:r>
              <w:rPr>
                <w:rFonts w:hint="eastAsia" w:ascii="宋体" w:hAnsi="宋体"/>
                <w:bCs/>
                <w:iCs/>
                <w:color w:val="000000" w:themeColor="text1"/>
                <w:szCs w:val="22"/>
              </w:rPr>
              <w:t>织按管理体系需求配置了充足的人员、设施等资源，并建立维持了</w:t>
            </w:r>
            <w:r>
              <w:rPr>
                <w:rFonts w:hint="eastAsia" w:ascii="宋体" w:hAnsi="宋体"/>
                <w:color w:val="000000" w:themeColor="text1"/>
                <w:szCs w:val="21"/>
              </w:rPr>
              <w:t>产品的生产</w:t>
            </w:r>
            <w:r>
              <w:rPr>
                <w:rFonts w:hint="eastAsia" w:ascii="宋体" w:hAnsi="宋体"/>
                <w:bCs/>
                <w:iCs/>
                <w:color w:val="000000" w:themeColor="text1"/>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color w:val="000000" w:themeColor="text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color w:val="000000" w:themeColor="text1"/>
                <w:sz w:val="21"/>
                <w:szCs w:val="21"/>
                <w:lang w:val="en-US" w:eastAsia="zh-CN"/>
              </w:rPr>
              <w:t>组织为租赁的办公场地，</w:t>
            </w:r>
            <w:r>
              <w:rPr>
                <w:rFonts w:hint="eastAsia" w:ascii="宋体" w:hAnsi="宋体"/>
                <w:color w:val="000000" w:themeColor="text1"/>
                <w:szCs w:val="21"/>
                <w:highlight w:val="none"/>
              </w:rPr>
              <w:t>办公面积</w:t>
            </w:r>
            <w:r>
              <w:rPr>
                <w:rFonts w:hint="eastAsia" w:ascii="宋体" w:hAnsi="宋体"/>
                <w:color w:val="000000" w:themeColor="text1"/>
                <w:szCs w:val="21"/>
                <w:highlight w:val="none"/>
                <w:lang w:val="en-US" w:eastAsia="zh-CN"/>
              </w:rPr>
              <w:t>200</w:t>
            </w:r>
            <w:r>
              <w:rPr>
                <w:rFonts w:hint="eastAsia" w:ascii="宋体" w:hAnsi="宋体"/>
                <w:color w:val="000000" w:themeColor="text1"/>
                <w:szCs w:val="21"/>
                <w:highlight w:val="none"/>
              </w:rPr>
              <w:t>平方左右</w:t>
            </w:r>
            <w:r>
              <w:rPr>
                <w:rFonts w:hint="eastAsia"/>
                <w:color w:val="000000" w:themeColor="text1"/>
                <w:sz w:val="21"/>
                <w:szCs w:val="21"/>
                <w:highlight w:val="none"/>
                <w:lang w:val="en-US" w:eastAsia="zh-CN"/>
              </w:rPr>
              <w:t>.</w:t>
            </w:r>
            <w:r>
              <w:rPr>
                <w:rFonts w:hint="eastAsia" w:ascii="宋体" w:hAnsi="宋体"/>
                <w:color w:val="000000" w:themeColor="text1"/>
                <w:szCs w:val="21"/>
                <w:highlight w:val="none"/>
              </w:rPr>
              <w:t>公司设置</w:t>
            </w:r>
            <w:r>
              <w:rPr>
                <w:rFonts w:hint="eastAsia" w:ascii="宋体" w:hAnsi="宋体"/>
                <w:color w:val="000000" w:themeColor="text1"/>
                <w:szCs w:val="21"/>
                <w:highlight w:val="none"/>
                <w:lang w:val="en-US" w:eastAsia="zh-CN"/>
              </w:rPr>
              <w:t>有临时存放</w:t>
            </w:r>
            <w:r>
              <w:rPr>
                <w:rFonts w:hint="eastAsia" w:ascii="宋体" w:hAnsi="宋体"/>
                <w:color w:val="000000" w:themeColor="text1"/>
                <w:szCs w:val="21"/>
                <w:highlight w:val="none"/>
              </w:rPr>
              <w:t>库房</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50平方</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为周转场地。主要生产设备包括</w:t>
            </w:r>
            <w:r>
              <w:rPr>
                <w:rFonts w:hint="eastAsia" w:ascii="宋体" w:hAnsi="宋体"/>
                <w:color w:val="auto"/>
                <w:szCs w:val="21"/>
                <w:highlight w:val="none"/>
                <w:lang w:eastAsia="zh-CN"/>
              </w:rPr>
              <w:t>电脑、</w:t>
            </w:r>
            <w:r>
              <w:rPr>
                <w:rFonts w:hint="eastAsia" w:ascii="宋体" w:hAnsi="宋体"/>
                <w:color w:val="auto"/>
                <w:szCs w:val="21"/>
                <w:highlight w:val="none"/>
                <w:lang w:val="en-US" w:eastAsia="zh-CN"/>
              </w:rPr>
              <w:t>打印机，空调等</w:t>
            </w:r>
            <w:r>
              <w:rPr>
                <w:rFonts w:hint="eastAsia" w:ascii="宋体" w:hAnsi="宋体"/>
                <w:color w:val="auto"/>
                <w:szCs w:val="21"/>
                <w:highlight w:val="none"/>
                <w:lang w:eastAsia="zh-CN"/>
              </w:rPr>
              <w:t>办公设备</w:t>
            </w:r>
            <w:r>
              <w:rPr>
                <w:rFonts w:hint="eastAsia" w:ascii="宋体" w:hAnsi="宋体"/>
                <w:color w:val="000000" w:themeColor="text1"/>
                <w:szCs w:val="21"/>
                <w:highlight w:val="none"/>
                <w:lang w:val="en-US" w:eastAsia="zh-CN"/>
              </w:rPr>
              <w:t>等，</w:t>
            </w:r>
            <w:r>
              <w:rPr>
                <w:rFonts w:hint="eastAsia" w:ascii="宋体" w:hAnsi="宋体"/>
                <w:color w:val="000000" w:themeColor="text1"/>
                <w:szCs w:val="21"/>
                <w:highlight w:val="none"/>
                <w:lang w:val="en-US" w:eastAsia="zh-CN"/>
              </w:rPr>
              <w:t>可以满足紧电子产品、光纤产品的销售及进出口贸易需要。特种设备：无。公</w:t>
            </w:r>
            <w:r>
              <w:rPr>
                <w:rFonts w:hint="eastAsia" w:ascii="宋体" w:hAnsi="宋体"/>
                <w:color w:val="000000" w:themeColor="text1"/>
                <w:szCs w:val="21"/>
                <w:lang w:val="en-US" w:eastAsia="zh-CN"/>
              </w:rPr>
              <w:t>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szCs w:val="21"/>
              </w:rPr>
              <w:t>办公区域内</w:t>
            </w:r>
            <w:r>
              <w:rPr>
                <w:rFonts w:hint="eastAsia" w:ascii="宋体" w:hAnsi="宋体" w:cs="宋体"/>
                <w:szCs w:val="21"/>
              </w:rPr>
              <w:t>布置合理，通道畅通，照明设施齐全，均配备了消防设施等设施。办公室明亮，作业场所光线较充足。每月由</w:t>
            </w:r>
            <w:r>
              <w:rPr>
                <w:rFonts w:hint="eastAsia" w:ascii="宋体" w:hAnsi="宋体" w:cs="宋体"/>
                <w:szCs w:val="21"/>
                <w:lang w:val="en-US" w:eastAsia="zh-CN"/>
              </w:rPr>
              <w:t>综合部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highlight w:val="none"/>
                <w:lang w:eastAsia="zh-CN"/>
              </w:rPr>
            </w:pPr>
            <w:r>
              <w:rPr>
                <w:rFonts w:hint="eastAsia" w:ascii="宋体" w:hAnsi="宋体"/>
                <w:b/>
                <w:color w:val="000000" w:themeColor="text1"/>
                <w:sz w:val="20"/>
                <w:szCs w:val="20"/>
                <w:highlight w:val="none"/>
              </w:rPr>
              <w:t>监视和测量资源</w:t>
            </w:r>
          </w:p>
          <w:p>
            <w:pPr>
              <w:snapToGrid w:val="0"/>
              <w:spacing w:line="280" w:lineRule="exact"/>
              <w:jc w:val="left"/>
              <w:rPr>
                <w:rFonts w:ascii="宋体" w:hAnsi="宋体"/>
                <w:b/>
                <w:color w:val="000000" w:themeColor="text1"/>
                <w:sz w:val="20"/>
                <w:szCs w:val="20"/>
                <w:highlight w:val="none"/>
              </w:rPr>
            </w:pPr>
            <w:r>
              <w:rPr>
                <w:rFonts w:hint="eastAsia" w:ascii="宋体" w:hAnsi="宋体" w:cs="宋体"/>
                <w:szCs w:val="21"/>
                <w:highlight w:val="none"/>
                <w:lang w:val="en-US" w:eastAsia="zh-CN"/>
              </w:rPr>
              <w:t>公司未</w:t>
            </w:r>
            <w:r>
              <w:rPr>
                <w:rFonts w:hint="eastAsia" w:ascii="宋体" w:hAnsi="宋体" w:cs="宋体"/>
                <w:szCs w:val="21"/>
                <w:highlight w:val="none"/>
              </w:rPr>
              <w:t>配置检测设备，</w:t>
            </w:r>
            <w:r>
              <w:rPr>
                <w:rFonts w:hint="eastAsia" w:ascii="宋体" w:hAnsi="宋体" w:cs="宋体"/>
                <w:color w:val="auto"/>
                <w:sz w:val="21"/>
                <w:szCs w:val="21"/>
                <w:highlight w:val="none"/>
                <w:lang w:val="en-US" w:eastAsia="zh-CN"/>
              </w:rPr>
              <w:t>只对产品的</w:t>
            </w:r>
            <w:r>
              <w:rPr>
                <w:rFonts w:hint="eastAsia" w:ascii="宋体" w:hAnsi="宋体" w:cs="宋体"/>
                <w:color w:val="auto"/>
                <w:sz w:val="21"/>
                <w:szCs w:val="21"/>
                <w:highlight w:val="none"/>
                <w:lang w:eastAsia="zh-CN"/>
              </w:rPr>
              <w:t>尺寸</w:t>
            </w:r>
            <w:r>
              <w:rPr>
                <w:rFonts w:hint="eastAsia" w:ascii="宋体" w:hAnsi="宋体" w:cs="宋体"/>
                <w:color w:val="auto"/>
                <w:sz w:val="21"/>
                <w:szCs w:val="21"/>
                <w:highlight w:val="none"/>
              </w:rPr>
              <w:t>、规格型号、外观、</w:t>
            </w:r>
            <w:r>
              <w:rPr>
                <w:rFonts w:hint="eastAsia" w:ascii="宋体" w:hAnsi="宋体" w:cs="宋体"/>
                <w:color w:val="auto"/>
                <w:sz w:val="21"/>
                <w:szCs w:val="21"/>
                <w:highlight w:val="none"/>
                <w:lang w:val="en-US" w:eastAsia="zh-CN"/>
              </w:rPr>
              <w:t>合格证</w:t>
            </w:r>
            <w:r>
              <w:rPr>
                <w:rFonts w:hint="eastAsia" w:ascii="宋体" w:hAnsi="宋体" w:cs="宋体"/>
                <w:color w:val="auto"/>
                <w:sz w:val="21"/>
                <w:szCs w:val="21"/>
                <w:highlight w:val="none"/>
              </w:rPr>
              <w:t>等进行验证</w:t>
            </w:r>
            <w:r>
              <w:rPr>
                <w:rFonts w:hint="eastAsia" w:ascii="宋体" w:hAnsi="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hint="default" w:ascii="宋体" w:hAnsi="宋体" w:eastAsia="宋体"/>
                <w:color w:val="FF0000"/>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pStyle w:val="2"/>
              <w:rPr>
                <w:rFonts w:hint="eastAsia" w:eastAsia="宋体"/>
                <w:lang w:val="en-US" w:eastAsia="zh-CN"/>
              </w:rPr>
            </w:pPr>
            <w:r>
              <w:rPr>
                <w:rFonts w:hint="eastAsia" w:ascii="宋体" w:hAnsi="宋体"/>
                <w:b/>
                <w:bCs/>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销售过程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制定并实施了服务质量评价规定，规定了公司各管理层次和品质</w:t>
            </w:r>
            <w:r>
              <w:rPr>
                <w:rFonts w:hint="eastAsia" w:ascii="宋体" w:hAnsi="宋体" w:cs="宋体"/>
                <w:color w:val="000000"/>
                <w:szCs w:val="21"/>
                <w:lang w:val="en-US" w:eastAsia="zh-CN"/>
              </w:rPr>
              <w:t>管理</w:t>
            </w:r>
            <w:r>
              <w:rPr>
                <w:rFonts w:hint="eastAsia" w:ascii="宋体" w:hAnsi="宋体" w:cs="宋体"/>
                <w:color w:val="000000"/>
                <w:szCs w:val="21"/>
              </w:rPr>
              <w:t>部门在各阶段对服务质量实施检查与验收的管理要求。内容基本具备全面性、系统性及可操作性。质量检查与验收交付客户时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spacing w:line="240" w:lineRule="exact"/>
              <w:rPr>
                <w:rFonts w:hint="eastAsia" w:eastAsia="宋体"/>
                <w:b/>
                <w:color w:val="000000" w:themeColor="text1"/>
                <w:sz w:val="20"/>
                <w:szCs w:val="20"/>
                <w:highlight w:val="none"/>
                <w:lang w:eastAsia="zh-CN"/>
              </w:rPr>
            </w:pPr>
            <w:r>
              <w:rPr>
                <w:rFonts w:hint="eastAsia" w:cs="Times New Roman"/>
                <w:b/>
                <w:color w:val="000000" w:themeColor="text1"/>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w:t>
            </w:r>
            <w:r>
              <w:rPr>
                <w:rFonts w:hint="eastAsia" w:ascii="宋体" w:hAnsi="宋体" w:cs="宋体"/>
                <w:color w:val="000000" w:themeColor="text1"/>
                <w:szCs w:val="21"/>
              </w:rPr>
              <w:t>能部门和层次，规定了目标值、计算方法、责任部门、检查人、考核频次等。同时，质量目标得</w:t>
            </w:r>
            <w:r>
              <w:rPr>
                <w:rFonts w:hint="eastAsia" w:ascii="宋体" w:hAnsi="宋体" w:cs="宋体"/>
                <w:color w:val="000000" w:themeColor="text1"/>
                <w:szCs w:val="21"/>
                <w:highlight w:val="none"/>
              </w:rPr>
              <w:t>到沟通和监视评价，通过数据的汇总统计、描述性统计等方法对目标进行了测量，总体已达到或超过了规定的目标值。通过20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2021年4</w:t>
            </w:r>
            <w:r>
              <w:rPr>
                <w:rFonts w:hint="eastAsia" w:ascii="宋体" w:hAnsi="宋体" w:cs="宋体"/>
                <w:color w:val="000000" w:themeColor="text1"/>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themeColor="text1"/>
                <w:szCs w:val="21"/>
              </w:rPr>
              <w:t>公司建立了顾客满意度监视和测量控制程序，对顾客投诉处理及顾客满意度评价做了明确的规定，并按规定对顾客反馈及时处理，但在顾客反馈</w:t>
            </w:r>
            <w:r>
              <w:rPr>
                <w:rFonts w:hint="eastAsia" w:ascii="宋体" w:hAnsi="宋体" w:cs="宋体"/>
                <w:color w:val="000000" w:themeColor="text1"/>
                <w:szCs w:val="21"/>
                <w:highlight w:val="none"/>
              </w:rPr>
              <w:t>信息的利用上不够，需要改善。近年来未发生重大顾客投诉和产品质量事故。顾客满意度调查按规定实施，20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月实施，满意度评价</w:t>
            </w:r>
            <w:r>
              <w:rPr>
                <w:rFonts w:hint="eastAsia" w:ascii="宋体" w:hAnsi="宋体" w:cs="宋体"/>
                <w:color w:val="000000" w:themeColor="text1"/>
                <w:szCs w:val="21"/>
                <w:highlight w:val="none"/>
                <w:lang w:val="en-US" w:eastAsia="zh-CN"/>
              </w:rPr>
              <w:t>98分</w:t>
            </w:r>
            <w:r>
              <w:rPr>
                <w:rFonts w:hint="eastAsia" w:ascii="宋体" w:hAnsi="宋体" w:cs="宋体"/>
                <w:color w:val="000000" w:themeColor="text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w:t>
            </w:r>
            <w:r>
              <w:rPr>
                <w:rFonts w:hint="eastAsia" w:ascii="宋体" w:hAnsi="宋体" w:cs="宋体"/>
                <w:szCs w:val="21"/>
                <w:highlight w:val="none"/>
              </w:rPr>
              <w:t>次，内审时间</w:t>
            </w:r>
            <w:r>
              <w:rPr>
                <w:rFonts w:hint="eastAsia" w:ascii="宋体" w:hAnsi="宋体" w:cs="宋体"/>
                <w:szCs w:val="21"/>
                <w:highlight w:val="none"/>
                <w:lang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4</w:t>
            </w:r>
            <w:r>
              <w:rPr>
                <w:rFonts w:hint="eastAsia"/>
                <w:color w:val="auto"/>
                <w:sz w:val="21"/>
                <w:szCs w:val="21"/>
                <w:highlight w:val="none"/>
                <w:lang w:eastAsia="zh-CN"/>
              </w:rPr>
              <w:t>月</w:t>
            </w:r>
            <w:r>
              <w:rPr>
                <w:rFonts w:hint="eastAsia"/>
                <w:color w:val="auto"/>
                <w:sz w:val="21"/>
                <w:szCs w:val="21"/>
                <w:highlight w:val="none"/>
                <w:lang w:val="en-US" w:eastAsia="zh-CN"/>
              </w:rPr>
              <w:t>5</w:t>
            </w:r>
            <w:r>
              <w:rPr>
                <w:rFonts w:hint="eastAsia"/>
                <w:color w:val="auto"/>
                <w:sz w:val="21"/>
                <w:szCs w:val="21"/>
                <w:highlight w:val="none"/>
                <w:lang w:eastAsia="zh-CN"/>
              </w:rPr>
              <w:t>日</w:t>
            </w:r>
            <w:r>
              <w:rPr>
                <w:rFonts w:hint="eastAsia" w:ascii="宋体" w:hAnsi="宋体" w:cs="宋体"/>
                <w:szCs w:val="21"/>
                <w:highlight w:val="none"/>
              </w:rPr>
              <w:t>，拟定了审核实施表，明确了内审范围，内审人员经培训合格上岗，能力满足要求，未出现审核本部门情况，内审不符合项</w:t>
            </w:r>
            <w:r>
              <w:rPr>
                <w:rFonts w:hint="eastAsia" w:ascii="宋体" w:hAnsi="宋体" w:cs="宋体"/>
                <w:szCs w:val="21"/>
                <w:highlight w:val="none"/>
                <w:lang w:val="en-US" w:eastAsia="zh-CN"/>
              </w:rPr>
              <w:t>1</w:t>
            </w:r>
            <w:r>
              <w:rPr>
                <w:rFonts w:hint="eastAsia" w:ascii="宋体" w:hAnsi="宋体" w:cs="宋体"/>
                <w:szCs w:val="21"/>
                <w:highlight w:val="none"/>
              </w:rPr>
              <w:t>项，</w:t>
            </w:r>
            <w:r>
              <w:rPr>
                <w:rFonts w:hint="eastAsia" w:ascii="宋体" w:hAnsi="宋体" w:cs="宋体"/>
                <w:color w:val="auto"/>
                <w:szCs w:val="24"/>
                <w:highlight w:val="none"/>
                <w:lang w:eastAsia="zh-CN"/>
              </w:rPr>
              <w:t>涉及</w:t>
            </w:r>
            <w:r>
              <w:rPr>
                <w:rFonts w:hint="eastAsia" w:ascii="宋体" w:hAnsi="宋体" w:cs="宋体"/>
                <w:color w:val="auto"/>
                <w:szCs w:val="24"/>
                <w:highlight w:val="none"/>
                <w:lang w:val="en-US" w:eastAsia="zh-CN"/>
              </w:rPr>
              <w:t>综合部7.2</w:t>
            </w:r>
            <w:r>
              <w:rPr>
                <w:rFonts w:hint="eastAsia" w:ascii="宋体" w:hAnsi="宋体" w:cs="宋体"/>
                <w:color w:val="auto"/>
                <w:szCs w:val="24"/>
                <w:highlight w:val="none"/>
                <w:lang w:eastAsia="zh-CN"/>
              </w:rPr>
              <w:t>条款不符合事实描述“</w:t>
            </w:r>
            <w:r>
              <w:rPr>
                <w:rFonts w:hint="eastAsia" w:ascii="宋体" w:hAnsi="宋体" w:cs="宋体"/>
                <w:color w:val="auto"/>
                <w:szCs w:val="24"/>
                <w:highlight w:val="none"/>
              </w:rPr>
              <w:t>在现场检查</w:t>
            </w:r>
            <w:r>
              <w:rPr>
                <w:rFonts w:hint="eastAsia" w:ascii="宋体" w:hAnsi="宋体" w:cs="宋体"/>
                <w:color w:val="auto"/>
                <w:szCs w:val="24"/>
                <w:highlight w:val="none"/>
                <w:lang w:eastAsia="zh-CN"/>
              </w:rPr>
              <w:t>培训记录时发现，在培训</w:t>
            </w:r>
            <w:r>
              <w:rPr>
                <w:rFonts w:hint="eastAsia" w:ascii="宋体" w:hAnsi="宋体" w:eastAsia="宋体" w:cs="宋体"/>
                <w:color w:val="auto"/>
                <w:szCs w:val="24"/>
                <w:highlight w:val="none"/>
                <w:lang w:eastAsia="zh-CN"/>
              </w:rPr>
              <w:t>‘</w:t>
            </w:r>
            <w:r>
              <w:rPr>
                <w:rFonts w:hint="eastAsia" w:ascii="宋体" w:hAnsi="宋体" w:cs="宋体"/>
                <w:color w:val="auto"/>
                <w:szCs w:val="24"/>
                <w:highlight w:val="none"/>
                <w:lang w:eastAsia="zh-CN"/>
              </w:rPr>
              <w:t>中华人民共和国招标投标法实施条例</w:t>
            </w:r>
            <w:r>
              <w:rPr>
                <w:rFonts w:hint="eastAsia" w:ascii="宋体" w:hAnsi="宋体" w:eastAsia="宋体" w:cs="宋体"/>
                <w:color w:val="auto"/>
                <w:szCs w:val="24"/>
                <w:highlight w:val="none"/>
                <w:lang w:eastAsia="zh-CN"/>
              </w:rPr>
              <w:t>’</w:t>
            </w:r>
            <w:r>
              <w:rPr>
                <w:rFonts w:hint="eastAsia" w:ascii="宋体" w:hAnsi="宋体" w:cs="宋体"/>
                <w:color w:val="auto"/>
                <w:szCs w:val="24"/>
                <w:highlight w:val="none"/>
                <w:lang w:eastAsia="zh-CN"/>
              </w:rPr>
              <w:t>时未见相关负责人对培训效果的评价。”</w:t>
            </w:r>
            <w:r>
              <w:rPr>
                <w:rFonts w:hint="eastAsia" w:ascii="宋体" w:hAnsi="宋体" w:cs="宋体"/>
                <w:szCs w:val="21"/>
                <w:highlight w:val="none"/>
              </w:rPr>
              <w:t>针对</w:t>
            </w:r>
            <w:r>
              <w:rPr>
                <w:rFonts w:hint="eastAsia" w:ascii="宋体" w:hAnsi="宋体" w:cs="宋体"/>
                <w:szCs w:val="21"/>
                <w:highlight w:val="none"/>
                <w:lang w:val="en-US" w:eastAsia="zh-CN"/>
              </w:rPr>
              <w:t>以上</w:t>
            </w:r>
            <w:r>
              <w:rPr>
                <w:rFonts w:hint="eastAsia" w:ascii="宋体" w:hAnsi="宋体" w:cs="宋体"/>
                <w:szCs w:val="21"/>
                <w:highlight w:val="none"/>
              </w:rPr>
              <w:t>不符合项，已及</w:t>
            </w:r>
            <w:r>
              <w:rPr>
                <w:rFonts w:hint="eastAsia"/>
                <w:szCs w:val="21"/>
                <w:highlight w:val="none"/>
              </w:rPr>
              <w:t>时采取纠正措施后，经内审员验证关闭。</w:t>
            </w:r>
            <w:r>
              <w:rPr>
                <w:rFonts w:hint="eastAsia" w:ascii="宋体" w:hAnsi="宋体" w:cs="宋体"/>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4.管理评审（管理评审体系变更需求，纠正和预防措施、体</w:t>
            </w:r>
            <w:r>
              <w:rPr>
                <w:rFonts w:hint="eastAsia"/>
                <w:b/>
                <w:color w:val="000000" w:themeColor="text1"/>
                <w:sz w:val="20"/>
                <w:szCs w:val="20"/>
                <w:highlight w:val="none"/>
              </w:rPr>
              <w:t>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highlight w:val="none"/>
                <w:lang w:eastAsia="zh-CN"/>
              </w:rPr>
              <w:t>2021年4月20日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highlight w:val="none"/>
                <w:lang w:eastAsia="zh-CN"/>
              </w:rPr>
              <w:t>输入、</w:t>
            </w:r>
            <w:r>
              <w:rPr>
                <w:rFonts w:hint="eastAsia" w:ascii="宋体" w:hAnsi="宋体" w:cs="宋体"/>
                <w:szCs w:val="21"/>
                <w:highlight w:val="none"/>
              </w:rPr>
              <w:t>输出</w:t>
            </w:r>
            <w:r>
              <w:rPr>
                <w:rFonts w:hint="eastAsia" w:ascii="宋体" w:hAnsi="宋体" w:cs="宋体"/>
                <w:szCs w:val="21"/>
              </w:rPr>
              <w:t>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0</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市场部</w:t>
      </w:r>
      <w:r>
        <w:rPr>
          <w:rFonts w:hint="eastAsia"/>
          <w:b/>
          <w:color w:val="000000" w:themeColor="text1"/>
          <w:highlight w:val="none"/>
        </w:rPr>
        <w:t>部门</w:t>
      </w:r>
      <w:r>
        <w:rPr>
          <w:rFonts w:hint="eastAsia"/>
          <w:b/>
          <w:color w:val="000000" w:themeColor="text1"/>
          <w:highlight w:val="none"/>
          <w:lang w:val="en-US" w:eastAsia="zh-CN"/>
        </w:rPr>
        <w:t>8.5.1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highlight w:val="none"/>
        </w:rPr>
      </w:pPr>
      <w:r>
        <w:rPr>
          <w:rFonts w:hint="eastAsia"/>
          <w:b/>
          <w:bCs/>
          <w:color w:val="000000" w:themeColor="text1"/>
          <w:szCs w:val="28"/>
          <w:highlight w:val="none"/>
        </w:rPr>
        <w:t>2. 本次审核发现不符合及存在问题对管理体系实现</w:t>
      </w:r>
      <w:bookmarkStart w:id="22" w:name="_GoBack"/>
      <w:bookmarkEnd w:id="22"/>
      <w:r>
        <w:rPr>
          <w:rFonts w:hint="eastAsia"/>
          <w:b/>
          <w:bCs/>
          <w:color w:val="000000" w:themeColor="text1"/>
          <w:szCs w:val="28"/>
          <w:highlight w:val="none"/>
        </w:rPr>
        <w:t>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b/>
          <w:color w:val="000000" w:themeColor="text1"/>
          <w:spacing w:val="-10"/>
          <w:szCs w:val="21"/>
          <w:highlight w:val="none"/>
        </w:rPr>
        <w:sym w:font="Wingdings 2" w:char="0052"/>
      </w:r>
      <w:r>
        <w:rPr>
          <w:rFonts w:hint="eastAsia"/>
          <w:b/>
          <w:color w:val="000000" w:themeColor="text1"/>
          <w:highlight w:val="none"/>
        </w:rPr>
        <w:t>不大</w:t>
      </w:r>
    </w:p>
    <w:p>
      <w:pPr>
        <w:tabs>
          <w:tab w:val="left" w:pos="215"/>
          <w:tab w:val="left" w:pos="430"/>
        </w:tabs>
        <w:spacing w:line="360" w:lineRule="auto"/>
        <w:ind w:left="-190" w:leftChars="-472" w:hanging="801" w:hangingChars="380"/>
        <w:rPr>
          <w:b/>
          <w:color w:val="000000" w:themeColor="text1"/>
          <w:highlight w:val="none"/>
        </w:rPr>
      </w:pPr>
      <w:r>
        <w:rPr>
          <w:rFonts w:hint="eastAsia"/>
          <w:b/>
          <w:color w:val="000000" w:themeColor="text1"/>
          <w:highlight w:val="none"/>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rPr>
        <w:sym w:font="Wingdings 2" w:char="0052"/>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b/>
                <w:color w:val="000000" w:themeColor="text1"/>
                <w:spacing w:val="-10"/>
                <w:sz w:val="22"/>
                <w:szCs w:val="22"/>
              </w:rPr>
            </w:pPr>
            <w:r>
              <w:rPr>
                <w:rFonts w:ascii="宋体" w:hAnsi="宋体"/>
                <w:b/>
                <w:color w:val="000000" w:themeColor="text1"/>
              </w:rPr>
              <w:t>QMS:</w:t>
            </w:r>
            <w:r>
              <w:rPr>
                <w:sz w:val="20"/>
              </w:rPr>
              <w:t>电子产品、光纤产品的销售及进出口贸易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w:t>
      </w:r>
      <w:r>
        <w:rPr>
          <w:rFonts w:hint="eastAsia"/>
          <w:b/>
          <w:color w:val="000000" w:themeColor="text1"/>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1645920</wp:posOffset>
            </wp:positionH>
            <wp:positionV relativeFrom="paragraph">
              <wp:posOffset>327660</wp:posOffset>
            </wp:positionV>
            <wp:extent cx="523240" cy="396240"/>
            <wp:effectExtent l="0" t="0" r="10160" b="10160"/>
            <wp:wrapNone/>
            <wp:docPr id="4"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签名.jpg"/>
                    <pic:cNvPicPr>
                      <a:picLocks noChangeAspect="1"/>
                    </pic:cNvPicPr>
                  </pic:nvPicPr>
                  <pic:blipFill>
                    <a:blip r:embed="rId6"/>
                    <a:stretch>
                      <a:fillRect/>
                    </a:stretch>
                  </pic:blipFill>
                  <pic:spPr>
                    <a:xfrm>
                      <a:off x="0" y="0"/>
                      <a:ext cx="523240" cy="3962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1312" behindDoc="0" locked="0" layoutInCell="1" allowOverlap="1">
            <wp:simplePos x="0" y="0"/>
            <wp:positionH relativeFrom="column">
              <wp:posOffset>1538605</wp:posOffset>
            </wp:positionH>
            <wp:positionV relativeFrom="paragraph">
              <wp:posOffset>60960</wp:posOffset>
            </wp:positionV>
            <wp:extent cx="711835" cy="517525"/>
            <wp:effectExtent l="0" t="0" r="12065" b="3175"/>
            <wp:wrapNone/>
            <wp:docPr id="3"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24309\AppData\Local\Temp\WeChat Files\5990baca09647c352f1321b31faa90a.jpg"/>
                    <pic:cNvPicPr>
                      <a:picLocks noChangeAspect="1"/>
                    </pic:cNvPicPr>
                  </pic:nvPicPr>
                  <pic:blipFill>
                    <a:blip r:embed="rId7"/>
                    <a:stretch>
                      <a:fillRect/>
                    </a:stretch>
                  </pic:blipFill>
                  <pic:spPr>
                    <a:xfrm>
                      <a:off x="0" y="0"/>
                      <a:ext cx="711835" cy="51752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sz w:val="20"/>
        </w:rPr>
        <w:t>2021年05月20日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871220</wp:posOffset>
            </wp:positionH>
            <wp:positionV relativeFrom="paragraph">
              <wp:posOffset>99695</wp:posOffset>
            </wp:positionV>
            <wp:extent cx="523240" cy="396240"/>
            <wp:effectExtent l="0" t="0" r="10160" b="10160"/>
            <wp:wrapNone/>
            <wp:docPr id="5"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签名.jpg"/>
                    <pic:cNvPicPr>
                      <a:picLocks noChangeAspect="1"/>
                    </pic:cNvPicPr>
                  </pic:nvPicPr>
                  <pic:blipFill>
                    <a:blip r:embed="rId6"/>
                    <a:stretch>
                      <a:fillRect/>
                    </a:stretch>
                  </pic:blipFill>
                  <pic:spPr>
                    <a:xfrm>
                      <a:off x="0" y="0"/>
                      <a:ext cx="523240" cy="396240"/>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A59AD"/>
    <w:rsid w:val="021F7D37"/>
    <w:rsid w:val="09B2566A"/>
    <w:rsid w:val="13AB0411"/>
    <w:rsid w:val="19BA4584"/>
    <w:rsid w:val="1ED01ADF"/>
    <w:rsid w:val="1F2876BE"/>
    <w:rsid w:val="26140340"/>
    <w:rsid w:val="29C87E53"/>
    <w:rsid w:val="47CF5BE9"/>
    <w:rsid w:val="48972D30"/>
    <w:rsid w:val="48D60F91"/>
    <w:rsid w:val="5FB53F0A"/>
    <w:rsid w:val="5FCB64D9"/>
    <w:rsid w:val="624B4E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2021-05-20T06:09:31Z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