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重庆建熙电子科技有限公司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销售</w:t>
            </w:r>
            <w:r>
              <w:rPr>
                <w:rFonts w:hint="eastAsia" w:ascii="宋体" w:hAnsi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流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顾客需求—签订销售协议—采购—货物报关（进出口贸易）—验收—交付—售后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需确认过程：销售过程，也是关键过程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质量风险：销售产品不满足客户质量要求，交付期无法履行客户要求。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中华人民共和国合同法、中华人民共和国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消费者权益保护法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、中华人民共和国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价格法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、中华人民共和国产品质量法。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GB/T 14733.12-2008电信术语 光纤通信、</w:t>
            </w:r>
            <w: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  <w:t>DL/T 1894-2018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电力光纤传感器通用规范等标准及客户合同要求。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无型式试验要求。检验项目：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、规格型号、外观、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合格证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等进行验证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有供方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的部分产品的出厂检验报告。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</w:tbl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90805</wp:posOffset>
            </wp:positionV>
            <wp:extent cx="422910" cy="320040"/>
            <wp:effectExtent l="0" t="0" r="8890" b="1016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140335</wp:posOffset>
            </wp:positionV>
            <wp:extent cx="422910" cy="320040"/>
            <wp:effectExtent l="0" t="0" r="8890" b="1016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20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F749F"/>
    <w:rsid w:val="38187149"/>
    <w:rsid w:val="5A761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2021-05-20T03:39:06Z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