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0463-2021-SA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铁岭市银州区威华博洋石油机械制造有限公司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黄柏根</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铁岭市银州区威华博洋石油机械制造有限公司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辽宁省铁岭市银州区龙山乡英城子村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112000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辽宁省铁岭市银州区龙山乡英城子村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112000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周松</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024-74561988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周松</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周松</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13811922580@qq.com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石油钻采专用设备制造、销售、维修；金属表面处理及热处理加工；金属成形机床制造、维修及销售；钢管制造、加工及销售；塑料零件制造、销售；橡胶制品、汽车配件、文具用品、五金产品、劳保用品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