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0139-2020-2021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681"/>
        <w:gridCol w:w="144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纸张厚度测量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品质管理部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0.041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0.001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0.003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校准</w:t>
            </w: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45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高精度电脑厚度测量仪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0-5</w:t>
            </w:r>
            <w:r>
              <w:rPr>
                <w:rFonts w:hint="eastAsia" w:ascii="宋体" w:hAnsi="宋体" w:eastAsia="宋体" w:cs="宋体"/>
              </w:rPr>
              <w:t>)㎜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0.001mm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JYGZ/MP-001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JYGZ/MP-001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)℃</w:t>
            </w:r>
            <w:r>
              <w:rPr>
                <w:rFonts w:hint="eastAsia" w:ascii="宋体" w:hAnsi="宋体"/>
                <w:color w:val="000000"/>
                <w:szCs w:val="21"/>
              </w:rPr>
              <w:t>湿度：≤90%。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840" w:firstLineChars="400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</w:rPr>
              <w:t>杨倩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纸张厚度测量</w:t>
            </w:r>
            <w:r>
              <w:rPr>
                <w:rFonts w:hint="eastAsia" w:ascii="Times New Roman" w:hAnsi="Times New Roman"/>
                <w:szCs w:val="21"/>
              </w:rPr>
              <w:t>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高度控制测量过程有效性确认记录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纸张厚度测量</w:t>
            </w:r>
            <w:r>
              <w:rPr>
                <w:rFonts w:hint="eastAsia" w:ascii="Times New Roman" w:hAnsi="Times New Roman"/>
              </w:rPr>
              <w:t>过程监视统计表及监视质控图</w:t>
            </w:r>
          </w:p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量要求导出满足顾客、组织和法律法规要求；测量方法已受控、环境条件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99695</wp:posOffset>
            </wp:positionV>
            <wp:extent cx="474345" cy="325755"/>
            <wp:effectExtent l="0" t="0" r="8255" b="444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25755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FF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85725</wp:posOffset>
            </wp:positionV>
            <wp:extent cx="770890" cy="314960"/>
            <wp:effectExtent l="0" t="0" r="3810" b="2540"/>
            <wp:wrapNone/>
            <wp:docPr id="2" name="图片 2" descr="06c7cc1385643a881cdf6830818fb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c7cc1385643a881cdf6830818fbc4"/>
                    <pic:cNvPicPr>
                      <a:picLocks noChangeAspect="1"/>
                    </pic:cNvPicPr>
                  </pic:nvPicPr>
                  <pic:blipFill>
                    <a:blip r:embed="rId6"/>
                    <a:srcRect l="5660" t="4286" b="428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BF07EF"/>
    <w:rsid w:val="41967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1</TotalTime>
  <ScaleCrop>false</ScaleCrop>
  <LinksUpToDate>false</LinksUpToDate>
  <CharactersWithSpaces>563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2021-05-15T07:25:31Z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9D24D9A05B9647C3A9B9BB5C6F383B8C</vt:lpwstr>
  </property>
</Properties>
</file>