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重庆温馨源物业管理有限公司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24"/>
        <w:gridCol w:w="1180"/>
        <w:gridCol w:w="2580"/>
        <w:gridCol w:w="544"/>
        <w:gridCol w:w="838"/>
        <w:gridCol w:w="12"/>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4" w:type="dxa"/>
            <w:vAlign w:val="center"/>
          </w:tcPr>
          <w:p>
            <w:pPr>
              <w:jc w:val="center"/>
              <w:rPr>
                <w:b/>
                <w:sz w:val="21"/>
                <w:szCs w:val="21"/>
              </w:rPr>
            </w:pPr>
            <w:r>
              <w:rPr>
                <w:rFonts w:hint="eastAsia"/>
                <w:b/>
                <w:sz w:val="21"/>
                <w:szCs w:val="21"/>
              </w:rPr>
              <w:t>职务</w:t>
            </w:r>
          </w:p>
        </w:tc>
        <w:tc>
          <w:tcPr>
            <w:tcW w:w="1180" w:type="dxa"/>
            <w:vAlign w:val="center"/>
          </w:tcPr>
          <w:p>
            <w:pPr>
              <w:jc w:val="center"/>
              <w:rPr>
                <w:b/>
                <w:sz w:val="21"/>
                <w:szCs w:val="21"/>
              </w:rPr>
            </w:pPr>
            <w:r>
              <w:rPr>
                <w:rFonts w:hint="eastAsia"/>
                <w:b/>
                <w:sz w:val="21"/>
                <w:szCs w:val="21"/>
              </w:rPr>
              <w:t>注册级别</w:t>
            </w:r>
          </w:p>
        </w:tc>
        <w:tc>
          <w:tcPr>
            <w:tcW w:w="2580" w:type="dxa"/>
            <w:vAlign w:val="center"/>
          </w:tcPr>
          <w:p>
            <w:pPr>
              <w:jc w:val="center"/>
              <w:rPr>
                <w:b/>
                <w:sz w:val="21"/>
                <w:szCs w:val="21"/>
              </w:rPr>
            </w:pPr>
            <w:r>
              <w:rPr>
                <w:rFonts w:hint="eastAsia"/>
                <w:b/>
                <w:sz w:val="21"/>
                <w:szCs w:val="21"/>
              </w:rPr>
              <w:t>审核员注册号</w:t>
            </w:r>
          </w:p>
        </w:tc>
        <w:tc>
          <w:tcPr>
            <w:tcW w:w="1382" w:type="dxa"/>
            <w:gridSpan w:val="2"/>
            <w:vAlign w:val="center"/>
          </w:tcPr>
          <w:p>
            <w:pPr>
              <w:jc w:val="center"/>
              <w:rPr>
                <w:b/>
                <w:sz w:val="21"/>
                <w:szCs w:val="21"/>
              </w:rPr>
            </w:pPr>
            <w:r>
              <w:rPr>
                <w:rFonts w:hint="eastAsia"/>
                <w:b/>
                <w:sz w:val="21"/>
                <w:szCs w:val="21"/>
              </w:rPr>
              <w:t>专业代码</w:t>
            </w:r>
          </w:p>
        </w:tc>
        <w:tc>
          <w:tcPr>
            <w:tcW w:w="1626"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224" w:type="dxa"/>
            <w:vAlign w:val="center"/>
          </w:tcPr>
          <w:p>
            <w:pPr>
              <w:jc w:val="center"/>
              <w:rPr>
                <w:b/>
                <w:sz w:val="21"/>
                <w:szCs w:val="21"/>
              </w:rPr>
            </w:pPr>
            <w:r>
              <w:rPr>
                <w:b/>
                <w:sz w:val="21"/>
                <w:szCs w:val="21"/>
              </w:rPr>
              <w:t>组长</w:t>
            </w:r>
          </w:p>
        </w:tc>
        <w:tc>
          <w:tcPr>
            <w:tcW w:w="118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0"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382"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626"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224" w:type="dxa"/>
            <w:vAlign w:val="center"/>
          </w:tcPr>
          <w:p>
            <w:pPr>
              <w:jc w:val="center"/>
              <w:rPr>
                <w:b/>
                <w:sz w:val="21"/>
                <w:szCs w:val="21"/>
              </w:rPr>
            </w:pPr>
            <w:r>
              <w:rPr>
                <w:b/>
                <w:sz w:val="21"/>
                <w:szCs w:val="21"/>
              </w:rPr>
              <w:t>组员</w:t>
            </w:r>
          </w:p>
        </w:tc>
        <w:tc>
          <w:tcPr>
            <w:tcW w:w="118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80"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382" w:type="dxa"/>
            <w:gridSpan w:val="2"/>
            <w:vAlign w:val="center"/>
          </w:tcPr>
          <w:p>
            <w:pPr>
              <w:jc w:val="center"/>
              <w:rPr>
                <w:b/>
                <w:sz w:val="21"/>
                <w:szCs w:val="21"/>
              </w:rPr>
            </w:pPr>
          </w:p>
        </w:tc>
        <w:tc>
          <w:tcPr>
            <w:tcW w:w="1626"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224" w:type="dxa"/>
            <w:vAlign w:val="center"/>
          </w:tcPr>
          <w:p>
            <w:pPr>
              <w:jc w:val="center"/>
              <w:rPr>
                <w:b/>
                <w:sz w:val="21"/>
                <w:szCs w:val="21"/>
              </w:rPr>
            </w:pPr>
            <w:r>
              <w:rPr>
                <w:b/>
                <w:sz w:val="21"/>
                <w:szCs w:val="21"/>
              </w:rPr>
              <w:t>组员</w:t>
            </w:r>
          </w:p>
        </w:tc>
        <w:tc>
          <w:tcPr>
            <w:tcW w:w="1180" w:type="dxa"/>
            <w:vAlign w:val="center"/>
          </w:tcPr>
          <w:p>
            <w:pPr>
              <w:jc w:val="center"/>
              <w:rPr>
                <w:b/>
                <w:sz w:val="21"/>
                <w:szCs w:val="21"/>
              </w:rPr>
            </w:pPr>
            <w:r>
              <w:rPr>
                <w:b/>
                <w:sz w:val="21"/>
                <w:szCs w:val="21"/>
              </w:rPr>
              <w:t>Q:审核员</w:t>
            </w:r>
          </w:p>
        </w:tc>
        <w:tc>
          <w:tcPr>
            <w:tcW w:w="2580" w:type="dxa"/>
            <w:vAlign w:val="center"/>
          </w:tcPr>
          <w:p>
            <w:pPr>
              <w:jc w:val="center"/>
              <w:rPr>
                <w:b/>
                <w:sz w:val="21"/>
                <w:szCs w:val="21"/>
              </w:rPr>
            </w:pPr>
            <w:r>
              <w:rPr>
                <w:b/>
                <w:sz w:val="21"/>
                <w:szCs w:val="21"/>
              </w:rPr>
              <w:t>2018-N1QMS-2207381</w:t>
            </w:r>
          </w:p>
        </w:tc>
        <w:tc>
          <w:tcPr>
            <w:tcW w:w="1382" w:type="dxa"/>
            <w:gridSpan w:val="2"/>
            <w:vAlign w:val="center"/>
          </w:tcPr>
          <w:p>
            <w:pPr>
              <w:jc w:val="center"/>
              <w:rPr>
                <w:b/>
                <w:sz w:val="21"/>
                <w:szCs w:val="21"/>
              </w:rPr>
            </w:pPr>
          </w:p>
        </w:tc>
        <w:tc>
          <w:tcPr>
            <w:tcW w:w="1626"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224" w:type="dxa"/>
            <w:vAlign w:val="center"/>
          </w:tcPr>
          <w:p>
            <w:pPr>
              <w:jc w:val="center"/>
              <w:rPr>
                <w:b/>
                <w:sz w:val="21"/>
                <w:szCs w:val="21"/>
              </w:rPr>
            </w:pPr>
            <w:r>
              <w:rPr>
                <w:rFonts w:hint="eastAsia"/>
                <w:b/>
                <w:sz w:val="21"/>
                <w:szCs w:val="21"/>
              </w:rPr>
              <w:t>角色</w:t>
            </w:r>
          </w:p>
        </w:tc>
        <w:tc>
          <w:tcPr>
            <w:tcW w:w="6768"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224" w:type="dxa"/>
            <w:vAlign w:val="center"/>
          </w:tcPr>
          <w:p>
            <w:pPr>
              <w:jc w:val="center"/>
              <w:rPr>
                <w:b/>
                <w:sz w:val="21"/>
                <w:szCs w:val="21"/>
              </w:rPr>
            </w:pPr>
          </w:p>
        </w:tc>
        <w:tc>
          <w:tcPr>
            <w:tcW w:w="6768"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24" w:type="dxa"/>
            <w:vAlign w:val="center"/>
          </w:tcPr>
          <w:p>
            <w:pPr>
              <w:jc w:val="center"/>
              <w:rPr>
                <w:b/>
              </w:rPr>
            </w:pPr>
          </w:p>
        </w:tc>
        <w:tc>
          <w:tcPr>
            <w:tcW w:w="6768"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224" w:type="dxa"/>
            <w:vAlign w:val="center"/>
          </w:tcPr>
          <w:p>
            <w:pPr>
              <w:jc w:val="center"/>
              <w:rPr>
                <w:b/>
              </w:rPr>
            </w:pPr>
          </w:p>
        </w:tc>
        <w:tc>
          <w:tcPr>
            <w:tcW w:w="6768" w:type="dxa"/>
            <w:gridSpan w:val="6"/>
            <w:vAlign w:val="center"/>
          </w:tcPr>
          <w:p>
            <w:pPr>
              <w:rPr>
                <w:b/>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883"/>
        <w:gridCol w:w="1730"/>
        <w:gridCol w:w="220"/>
        <w:gridCol w:w="1060"/>
        <w:gridCol w:w="556"/>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22" w:type="dxa"/>
            <w:gridSpan w:val="4"/>
          </w:tcPr>
          <w:p>
            <w:pPr>
              <w:spacing w:line="260" w:lineRule="exact"/>
              <w:rPr>
                <w:rFonts w:ascii="宋体"/>
                <w:b/>
                <w:color w:val="FF0000"/>
                <w:sz w:val="21"/>
              </w:rPr>
            </w:pPr>
            <w:bookmarkStart w:id="9" w:name="组织名称Add"/>
            <w:r>
              <w:rPr>
                <w:rFonts w:ascii="宋体"/>
                <w:b/>
                <w:color w:val="auto"/>
                <w:sz w:val="21"/>
              </w:rPr>
              <w:t>重庆温馨源物业管理有限公司</w:t>
            </w:r>
            <w:bookmarkEnd w:id="9"/>
          </w:p>
        </w:tc>
        <w:tc>
          <w:tcPr>
            <w:tcW w:w="1616" w:type="dxa"/>
            <w:gridSpan w:val="2"/>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45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22" w:type="dxa"/>
            <w:gridSpan w:val="4"/>
          </w:tcPr>
          <w:p>
            <w:pPr>
              <w:rPr>
                <w:rFonts w:ascii="宋体"/>
                <w:b/>
                <w:sz w:val="21"/>
              </w:rPr>
            </w:pPr>
            <w:bookmarkStart w:id="10" w:name="注册地址"/>
            <w:r>
              <w:rPr>
                <w:rFonts w:ascii="宋体"/>
                <w:b/>
                <w:sz w:val="21"/>
              </w:rPr>
              <w:t>重庆市九龙坡区锦龙路289号5幢</w:t>
            </w:r>
            <w:bookmarkEnd w:id="10"/>
          </w:p>
        </w:tc>
        <w:tc>
          <w:tcPr>
            <w:tcW w:w="1616" w:type="dxa"/>
            <w:gridSpan w:val="2"/>
            <w:vMerge w:val="restart"/>
            <w:vAlign w:val="center"/>
          </w:tcPr>
          <w:p>
            <w:pPr>
              <w:jc w:val="center"/>
              <w:rPr>
                <w:rFonts w:ascii="宋体"/>
                <w:b/>
                <w:sz w:val="21"/>
              </w:rPr>
            </w:pPr>
            <w:r>
              <w:rPr>
                <w:rFonts w:hint="eastAsia" w:ascii="宋体" w:hAnsi="宋体"/>
                <w:b/>
                <w:sz w:val="21"/>
              </w:rPr>
              <w:t>邮编</w:t>
            </w:r>
          </w:p>
        </w:tc>
        <w:tc>
          <w:tcPr>
            <w:tcW w:w="1450" w:type="dxa"/>
          </w:tcPr>
          <w:p>
            <w:pPr>
              <w:rPr>
                <w:rFonts w:ascii="宋体"/>
                <w:b/>
                <w:sz w:val="21"/>
              </w:rPr>
            </w:pPr>
            <w:bookmarkStart w:id="11" w:name="注册邮编"/>
            <w:r>
              <w:rPr>
                <w:rFonts w:ascii="宋体"/>
                <w:b/>
                <w:sz w:val="21"/>
              </w:rPr>
              <w:t>400053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22" w:type="dxa"/>
            <w:gridSpan w:val="4"/>
          </w:tcPr>
          <w:p>
            <w:pPr>
              <w:rPr>
                <w:rFonts w:ascii="宋体"/>
                <w:b/>
                <w:sz w:val="21"/>
              </w:rPr>
            </w:pPr>
            <w:bookmarkStart w:id="12" w:name="办公地址"/>
            <w:r>
              <w:rPr>
                <w:rFonts w:ascii="宋体"/>
                <w:b/>
                <w:sz w:val="21"/>
              </w:rPr>
              <w:t>重庆市九龙坡区锦龙路289号5幢</w:t>
            </w:r>
            <w:bookmarkEnd w:id="12"/>
          </w:p>
        </w:tc>
        <w:tc>
          <w:tcPr>
            <w:tcW w:w="1616" w:type="dxa"/>
            <w:gridSpan w:val="2"/>
            <w:vMerge w:val="continue"/>
            <w:vAlign w:val="center"/>
          </w:tcPr>
          <w:p>
            <w:pPr>
              <w:jc w:val="center"/>
              <w:rPr>
                <w:rFonts w:ascii="宋体"/>
                <w:b/>
                <w:sz w:val="21"/>
              </w:rPr>
            </w:pPr>
          </w:p>
        </w:tc>
        <w:tc>
          <w:tcPr>
            <w:tcW w:w="1450" w:type="dxa"/>
          </w:tcPr>
          <w:p>
            <w:pPr>
              <w:rPr>
                <w:rFonts w:ascii="宋体"/>
                <w:b/>
                <w:sz w:val="21"/>
              </w:rPr>
            </w:pPr>
            <w:bookmarkStart w:id="13" w:name="办公邮编"/>
            <w:r>
              <w:rPr>
                <w:rFonts w:ascii="宋体"/>
                <w:b/>
                <w:sz w:val="21"/>
              </w:rPr>
              <w:t>400053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22" w:type="dxa"/>
            <w:gridSpan w:val="4"/>
          </w:tcPr>
          <w:p>
            <w:pPr>
              <w:rPr>
                <w:rFonts w:ascii="宋体"/>
                <w:b/>
                <w:sz w:val="21"/>
              </w:rPr>
            </w:pPr>
            <w:bookmarkStart w:id="14" w:name="生产地址Add"/>
            <w:r>
              <w:rPr>
                <w:rFonts w:ascii="宋体"/>
                <w:b/>
                <w:sz w:val="21"/>
              </w:rPr>
              <w:t>重庆市九龙坡区锦龙路289号5幢</w:t>
            </w:r>
            <w:bookmarkEnd w:id="14"/>
          </w:p>
        </w:tc>
        <w:tc>
          <w:tcPr>
            <w:tcW w:w="1616" w:type="dxa"/>
            <w:gridSpan w:val="2"/>
            <w:vMerge w:val="continue"/>
            <w:vAlign w:val="center"/>
          </w:tcPr>
          <w:p>
            <w:pPr>
              <w:jc w:val="center"/>
              <w:rPr>
                <w:rFonts w:ascii="宋体"/>
                <w:b/>
                <w:sz w:val="21"/>
              </w:rPr>
            </w:pPr>
          </w:p>
        </w:tc>
        <w:tc>
          <w:tcPr>
            <w:tcW w:w="1450" w:type="dxa"/>
          </w:tcPr>
          <w:p>
            <w:pPr>
              <w:rPr>
                <w:rFonts w:ascii="宋体"/>
                <w:b/>
                <w:sz w:val="21"/>
              </w:rPr>
            </w:pPr>
            <w:bookmarkStart w:id="15" w:name="生产邮编"/>
            <w:r>
              <w:rPr>
                <w:rFonts w:ascii="宋体"/>
                <w:b/>
                <w:sz w:val="21"/>
              </w:rPr>
              <w:t>400053</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刘世均</w:t>
            </w:r>
            <w:bookmarkEnd w:id="16"/>
          </w:p>
        </w:tc>
        <w:tc>
          <w:tcPr>
            <w:tcW w:w="883" w:type="dxa"/>
            <w:vAlign w:val="center"/>
          </w:tcPr>
          <w:p>
            <w:pPr>
              <w:jc w:val="center"/>
              <w:rPr>
                <w:rFonts w:ascii="宋体"/>
                <w:b/>
                <w:sz w:val="21"/>
              </w:rPr>
            </w:pPr>
            <w:r>
              <w:rPr>
                <w:rFonts w:hint="eastAsia" w:ascii="宋体" w:hAnsi="宋体"/>
                <w:b/>
                <w:sz w:val="21"/>
              </w:rPr>
              <w:t>电话</w:t>
            </w:r>
            <w:r>
              <w:rPr>
                <w:b/>
                <w:sz w:val="16"/>
                <w:szCs w:val="16"/>
              </w:rPr>
              <w:t>.</w:t>
            </w:r>
          </w:p>
        </w:tc>
        <w:tc>
          <w:tcPr>
            <w:tcW w:w="1730" w:type="dxa"/>
            <w:vAlign w:val="center"/>
          </w:tcPr>
          <w:p>
            <w:pPr>
              <w:jc w:val="center"/>
              <w:rPr>
                <w:rFonts w:ascii="宋体"/>
                <w:b/>
                <w:sz w:val="21"/>
              </w:rPr>
            </w:pPr>
            <w:bookmarkStart w:id="17" w:name="联系人电话Add"/>
            <w:r>
              <w:rPr>
                <w:rFonts w:ascii="宋体"/>
                <w:b/>
                <w:sz w:val="21"/>
              </w:rPr>
              <w:t>023-68502272</w:t>
            </w:r>
            <w:bookmarkEnd w:id="17"/>
          </w:p>
        </w:tc>
        <w:tc>
          <w:tcPr>
            <w:tcW w:w="1280" w:type="dxa"/>
            <w:gridSpan w:val="2"/>
            <w:vAlign w:val="center"/>
          </w:tcPr>
          <w:p>
            <w:pPr>
              <w:jc w:val="center"/>
              <w:rPr>
                <w:rFonts w:ascii="宋体"/>
                <w:b/>
                <w:sz w:val="21"/>
              </w:rPr>
            </w:pPr>
            <w:r>
              <w:rPr>
                <w:rFonts w:hint="eastAsia" w:ascii="宋体" w:hAnsi="宋体"/>
                <w:b/>
                <w:sz w:val="21"/>
              </w:rPr>
              <w:t>传真</w:t>
            </w:r>
          </w:p>
        </w:tc>
        <w:tc>
          <w:tcPr>
            <w:tcW w:w="2006" w:type="dxa"/>
            <w:gridSpan w:val="2"/>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周大志</w:t>
            </w:r>
            <w:bookmarkEnd w:id="19"/>
          </w:p>
        </w:tc>
        <w:tc>
          <w:tcPr>
            <w:tcW w:w="883" w:type="dxa"/>
            <w:vAlign w:val="center"/>
          </w:tcPr>
          <w:p>
            <w:pPr>
              <w:jc w:val="center"/>
              <w:rPr>
                <w:rFonts w:ascii="宋体" w:hAnsi="宋体"/>
                <w:b/>
                <w:sz w:val="21"/>
                <w:szCs w:val="21"/>
              </w:rPr>
            </w:pPr>
            <w:r>
              <w:rPr>
                <w:rFonts w:hint="eastAsia" w:ascii="宋体" w:hAnsi="宋体"/>
                <w:b/>
                <w:sz w:val="21"/>
                <w:szCs w:val="21"/>
              </w:rPr>
              <w:t>总经理</w:t>
            </w:r>
          </w:p>
        </w:tc>
        <w:tc>
          <w:tcPr>
            <w:tcW w:w="1730" w:type="dxa"/>
          </w:tcPr>
          <w:p>
            <w:pPr>
              <w:rPr>
                <w:rFonts w:ascii="宋体" w:hAnsi="宋体"/>
                <w:b/>
                <w:sz w:val="21"/>
                <w:szCs w:val="21"/>
              </w:rPr>
            </w:pPr>
          </w:p>
        </w:tc>
        <w:tc>
          <w:tcPr>
            <w:tcW w:w="1280"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2006" w:type="dxa"/>
            <w:gridSpan w:val="2"/>
          </w:tcPr>
          <w:p>
            <w:pPr>
              <w:rPr>
                <w:rFonts w:ascii="宋体"/>
                <w:b/>
                <w:sz w:val="21"/>
              </w:rPr>
            </w:pPr>
            <w:bookmarkStart w:id="20" w:name="管理者代表"/>
            <w:r>
              <w:rPr>
                <w:rFonts w:ascii="宋体"/>
                <w:b/>
                <w:sz w:val="21"/>
              </w:rPr>
              <w:t>刘世均</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572" w:type="dxa"/>
            <w:gridSpan w:val="2"/>
            <w:vAlign w:val="center"/>
          </w:tcPr>
          <w:p>
            <w:pPr>
              <w:rPr>
                <w:rFonts w:ascii="宋体" w:hAnsi="宋体"/>
                <w:b/>
                <w:sz w:val="21"/>
                <w:szCs w:val="21"/>
              </w:rPr>
            </w:pPr>
            <w:bookmarkStart w:id="21" w:name="审核日期"/>
            <w:r>
              <w:rPr>
                <w:rFonts w:ascii="宋体" w:hAnsi="宋体"/>
                <w:b/>
                <w:sz w:val="21"/>
                <w:szCs w:val="21"/>
              </w:rPr>
              <w:t>2021年05月12日 上午至2021年05月12日 下午</w:t>
            </w:r>
            <w:bookmarkEnd w:id="21"/>
          </w:p>
        </w:tc>
        <w:tc>
          <w:tcPr>
            <w:tcW w:w="1730" w:type="dxa"/>
            <w:vAlign w:val="center"/>
          </w:tcPr>
          <w:p>
            <w:pPr>
              <w:rPr>
                <w:rFonts w:ascii="宋体" w:hAnsi="宋体"/>
                <w:b/>
                <w:sz w:val="21"/>
                <w:szCs w:val="21"/>
              </w:rPr>
            </w:pPr>
            <w:r>
              <w:rPr>
                <w:rFonts w:hint="eastAsia" w:ascii="宋体" w:hAnsi="宋体"/>
                <w:b/>
                <w:sz w:val="21"/>
                <w:szCs w:val="21"/>
              </w:rPr>
              <w:t>一体化审核</w:t>
            </w:r>
          </w:p>
        </w:tc>
        <w:tc>
          <w:tcPr>
            <w:tcW w:w="3286" w:type="dxa"/>
            <w:gridSpan w:val="4"/>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7"/>
          </w:tcPr>
          <w:p>
            <w:pPr>
              <w:rPr>
                <w:sz w:val="20"/>
              </w:rPr>
            </w:pPr>
            <w:r>
              <w:rPr>
                <w:rFonts w:hint="eastAsia"/>
                <w:sz w:val="20"/>
                <w:lang w:val="en-US" w:eastAsia="zh-CN"/>
              </w:rPr>
              <w:t>Q</w:t>
            </w:r>
            <w:r>
              <w:rPr>
                <w:sz w:val="20"/>
              </w:rPr>
              <w:t>：物业管理</w:t>
            </w:r>
          </w:p>
          <w:p>
            <w:pPr>
              <w:rPr>
                <w:sz w:val="20"/>
              </w:rPr>
            </w:pPr>
            <w:r>
              <w:rPr>
                <w:sz w:val="20"/>
              </w:rPr>
              <w:t>E：物业管理所涉及的相关环境管理活动</w:t>
            </w:r>
          </w:p>
          <w:p>
            <w:pPr>
              <w:spacing w:line="360" w:lineRule="exact"/>
              <w:rPr>
                <w:rFonts w:ascii="宋体" w:hAnsi="宋体"/>
                <w:b/>
                <w:sz w:val="21"/>
                <w:szCs w:val="21"/>
              </w:rPr>
            </w:pPr>
            <w:r>
              <w:rPr>
                <w:sz w:val="20"/>
              </w:rPr>
              <w:t>O：物业管理所涉及的相关职业健康安全管理活动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7"/>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2"/>
          </w:p>
        </w:tc>
        <w:tc>
          <w:tcPr>
            <w:tcW w:w="883"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30" w:type="dxa"/>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2023年4月29日</w:t>
            </w:r>
          </w:p>
        </w:tc>
        <w:tc>
          <w:tcPr>
            <w:tcW w:w="1280" w:type="dxa"/>
            <w:gridSpan w:val="2"/>
            <w:vAlign w:val="center"/>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上年度</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审核日期</w:t>
            </w:r>
          </w:p>
        </w:tc>
        <w:tc>
          <w:tcPr>
            <w:tcW w:w="2006"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2020 年4月26日</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 年4月26日</w:t>
      </w:r>
      <w:r>
        <w:rPr>
          <w:rFonts w:hint="eastAsia" w:ascii="宋体" w:hAnsi="宋体"/>
          <w:b/>
          <w:sz w:val="21"/>
          <w:szCs w:val="21"/>
        </w:rPr>
        <w:t>至</w:t>
      </w:r>
      <w:r>
        <w:rPr>
          <w:rFonts w:ascii="宋体" w:hAnsi="宋体"/>
          <w:b/>
          <w:sz w:val="21"/>
          <w:szCs w:val="21"/>
        </w:rPr>
        <w:t>2021年05月12日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pStyle w:val="2"/>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jc w:val="left"/>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color w:val="000000"/>
                <w:sz w:val="21"/>
                <w:szCs w:val="21"/>
              </w:rPr>
              <w:t>重庆温馨源物业管理有限公司</w:t>
            </w:r>
            <w:r>
              <w:rPr>
                <w:rFonts w:hint="eastAsia" w:asciiTheme="minorEastAsia" w:hAnsiTheme="minorEastAsia" w:eastAsiaTheme="minorEastAsia" w:cstheme="minorEastAsia"/>
                <w:sz w:val="21"/>
                <w:szCs w:val="21"/>
              </w:rPr>
              <w:t>成立于</w:t>
            </w:r>
            <w:r>
              <w:rPr>
                <w:rFonts w:hint="eastAsia" w:asciiTheme="minorEastAsia" w:hAnsiTheme="minorEastAsia" w:eastAsiaTheme="minorEastAsia" w:cstheme="minorEastAsia"/>
                <w:color w:val="000000"/>
                <w:sz w:val="21"/>
                <w:szCs w:val="21"/>
              </w:rPr>
              <w:t>2009年07月31日</w:t>
            </w:r>
            <w:r>
              <w:rPr>
                <w:rFonts w:hint="eastAsia" w:asciiTheme="minorEastAsia" w:hAnsiTheme="minorEastAsia" w:eastAsiaTheme="minorEastAsia" w:cstheme="minorEastAsia"/>
                <w:sz w:val="21"/>
                <w:szCs w:val="21"/>
              </w:rPr>
              <w:t>，注册</w:t>
            </w:r>
            <w:r>
              <w:rPr>
                <w:rFonts w:hint="eastAsia" w:asciiTheme="minorEastAsia" w:hAnsiTheme="minorEastAsia" w:eastAsiaTheme="minorEastAsia" w:cstheme="minorEastAsia"/>
                <w:color w:val="000000"/>
                <w:sz w:val="21"/>
                <w:szCs w:val="21"/>
              </w:rPr>
              <w:t>地址位于重庆市九龙坡区锦龙路289号5幢</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sz w:val="21"/>
                <w:szCs w:val="21"/>
              </w:rPr>
              <w:t>主要经营物业管理</w:t>
            </w:r>
            <w:r>
              <w:rPr>
                <w:rFonts w:hint="eastAsia" w:ascii="宋体" w:hAnsi="宋体"/>
                <w:sz w:val="21"/>
                <w:szCs w:val="21"/>
              </w:rPr>
              <w:t>。现</w:t>
            </w:r>
            <w:r>
              <w:rPr>
                <w:rFonts w:hint="eastAsia" w:ascii="宋体" w:hAnsi="宋体"/>
                <w:sz w:val="21"/>
                <w:szCs w:val="21"/>
                <w:highlight w:val="none"/>
              </w:rPr>
              <w:t>有</w:t>
            </w:r>
            <w:r>
              <w:rPr>
                <w:rFonts w:hint="eastAsia" w:ascii="宋体" w:hAnsi="宋体"/>
                <w:color w:val="auto"/>
                <w:sz w:val="21"/>
                <w:szCs w:val="21"/>
                <w:highlight w:val="none"/>
              </w:rPr>
              <w:t>员工25人，</w:t>
            </w:r>
            <w:r>
              <w:rPr>
                <w:rFonts w:hint="eastAsia" w:ascii="宋体" w:hAnsi="宋体"/>
                <w:sz w:val="21"/>
                <w:szCs w:val="21"/>
                <w:highlight w:val="none"/>
              </w:rPr>
              <w:t>目</w:t>
            </w:r>
            <w:r>
              <w:rPr>
                <w:rFonts w:hint="eastAsia" w:ascii="宋体" w:hAnsi="宋体"/>
                <w:sz w:val="21"/>
                <w:szCs w:val="21"/>
              </w:rPr>
              <w:t>前经营情况良好。组织对内外部因素、相关方需求和期望进行了充分的识别，策划和实施有效。确定了体系的边界，</w:t>
            </w:r>
            <w:r>
              <w:rPr>
                <w:rFonts w:hint="eastAsia" w:ascii="宋体" w:hAnsi="宋体"/>
                <w:sz w:val="21"/>
                <w:szCs w:val="21"/>
                <w:lang w:val="en-US" w:eastAsia="zh-CN"/>
              </w:rPr>
              <w:t>不适用条款Q8.3</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0"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400" w:lineRule="exact"/>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 w:val="21"/>
                <w:szCs w:val="21"/>
              </w:rPr>
            </w:pPr>
            <w:r>
              <w:rPr>
                <w:rFonts w:hint="eastAsia"/>
                <w:sz w:val="21"/>
                <w:szCs w:val="21"/>
              </w:rPr>
              <w:t xml:space="preserve">质量方针： </w:t>
            </w:r>
          </w:p>
          <w:p>
            <w:pPr>
              <w:spacing w:line="400" w:lineRule="exact"/>
              <w:ind w:firstLine="210" w:firstLineChars="100"/>
              <w:rPr>
                <w:sz w:val="21"/>
                <w:szCs w:val="21"/>
              </w:rPr>
            </w:pPr>
            <w:r>
              <w:rPr>
                <w:rFonts w:hint="eastAsia"/>
                <w:sz w:val="21"/>
                <w:szCs w:val="21"/>
              </w:rPr>
              <w:t>“科学领先，顾客满意，持续改进，行业领先，质量一流，服务一流 ”。</w:t>
            </w:r>
          </w:p>
          <w:p>
            <w:pPr>
              <w:spacing w:line="400" w:lineRule="exact"/>
              <w:ind w:firstLine="210" w:firstLineChars="100"/>
              <w:rPr>
                <w:sz w:val="21"/>
                <w:szCs w:val="21"/>
              </w:rPr>
            </w:pPr>
            <w:r>
              <w:rPr>
                <w:rFonts w:hint="eastAsia"/>
                <w:sz w:val="21"/>
                <w:szCs w:val="21"/>
              </w:rPr>
              <w:t xml:space="preserve">环境职业健康安全方针： </w:t>
            </w:r>
          </w:p>
          <w:p>
            <w:pPr>
              <w:spacing w:line="400" w:lineRule="exact"/>
              <w:ind w:firstLine="210" w:firstLineChars="100"/>
              <w:rPr>
                <w:rFonts w:ascii="宋体" w:hAnsi="宋体" w:eastAsia="宋体" w:cs="Times New Roman"/>
                <w:b/>
                <w:kern w:val="2"/>
                <w:sz w:val="21"/>
                <w:szCs w:val="21"/>
                <w:lang w:val="en-US" w:eastAsia="zh-CN" w:bidi="ar-SA"/>
              </w:rPr>
            </w:pPr>
            <w:r>
              <w:rPr>
                <w:rFonts w:hint="eastAsia"/>
                <w:sz w:val="21"/>
                <w:szCs w:val="21"/>
              </w:rPr>
              <w:t>“预防为主，遵规守法，确保环境安全；以人为本，持续改进，实现平安和谐”。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11" w:hanging="211" w:hangingChars="100"/>
              <w:rPr>
                <w:rFonts w:ascii="宋体" w:hAnsi="宋体"/>
                <w:b/>
                <w:color w:val="000000" w:themeColor="text1"/>
                <w:sz w:val="21"/>
                <w:szCs w:val="21"/>
                <w:u w:val="single"/>
              </w:rPr>
            </w:pPr>
            <w:r>
              <w:rPr>
                <w:rFonts w:hint="eastAsia" w:ascii="宋体" w:hAnsi="宋体"/>
                <w:b/>
                <w:sz w:val="21"/>
                <w:szCs w:val="21"/>
              </w:rPr>
              <w:t>质量管理体系过程有：</w:t>
            </w:r>
            <w:r>
              <w:rPr>
                <w:rFonts w:hint="eastAsia" w:ascii="宋体" w:hAnsi="宋体"/>
                <w:b/>
                <w:color w:val="000000" w:themeColor="text1"/>
                <w:sz w:val="21"/>
                <w:szCs w:val="21"/>
              </w:rPr>
              <w:t>合同评审、服务管理过程。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leftChars="0" w:hanging="211" w:hangingChars="100"/>
              <w:rPr>
                <w:rFonts w:ascii="宋体" w:hAnsi="宋体" w:eastAsia="宋体" w:cs="Times New Roman"/>
                <w:b/>
                <w:kern w:val="2"/>
                <w:sz w:val="21"/>
                <w:szCs w:val="21"/>
                <w:lang w:val="en-US" w:eastAsia="zh-CN" w:bidi="ar-SA"/>
              </w:rPr>
            </w:pPr>
            <w:r>
              <w:rPr>
                <w:rFonts w:ascii="宋体" w:hAnsi="宋体"/>
                <w:b/>
                <w:sz w:val="21"/>
                <w:szCs w:val="21"/>
              </w:rPr>
              <w:pict>
                <v:shape id="_x0000_s2053" o:spid="_x0000_s2053"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4" o:spid="_x0000_s2054"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删减条款是，8.3   删减理由：</w:t>
            </w:r>
            <w:r>
              <w:rPr>
                <w:rFonts w:hint="eastAsia" w:ascii="宋体" w:hAnsi="宋体"/>
                <w:sz w:val="21"/>
                <w:szCs w:val="21"/>
                <w:u w:val="single"/>
              </w:rPr>
              <w:t>公司的服务项目主要根据行业标准及顾客要求进行服务，服务模式固定，不涉及设计开发工作。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kern w:val="2"/>
                <w:sz w:val="21"/>
                <w:szCs w:val="21"/>
                <w:lang w:val="en-US" w:eastAsia="zh-CN" w:bidi="ar-SA"/>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组织建立了危险源识别、评价控制程序，识别评价了危险源、风险相关的过程，评价出了重要危险源，与之相关的过程有客服、工程维修、保安等，针对重要危险源制定了管理方案。控制措施实施有效。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2"/>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 w:val="21"/>
                <w:szCs w:val="21"/>
              </w:rPr>
            </w:pPr>
            <w:r>
              <w:rPr>
                <w:rFonts w:hint="eastAsia" w:ascii="宋体" w:hAnsi="宋体"/>
                <w:b/>
                <w:sz w:val="21"/>
                <w:szCs w:val="21"/>
              </w:rPr>
              <w:t>法律法规的宣传方式：</w:t>
            </w:r>
          </w:p>
          <w:p>
            <w:pPr>
              <w:pStyle w:val="14"/>
              <w:numPr>
                <w:ilvl w:val="0"/>
                <w:numId w:val="2"/>
              </w:numPr>
              <w:tabs>
                <w:tab w:val="left" w:pos="540"/>
              </w:tabs>
              <w:spacing w:line="300" w:lineRule="exact"/>
              <w:ind w:firstLineChars="0"/>
              <w:rPr>
                <w:rFonts w:ascii="宋体" w:hAnsi="宋体" w:eastAsia="宋体" w:cs="Times New Roman"/>
                <w:b/>
                <w:kern w:val="2"/>
                <w:sz w:val="21"/>
                <w:szCs w:val="21"/>
                <w:lang w:val="en-US" w:eastAsia="zh-CN" w:bidi="ar-SA"/>
              </w:rPr>
            </w:pPr>
            <w:r>
              <w:rPr>
                <w:rFonts w:hint="eastAsia" w:ascii="宋体" w:hAnsi="宋体"/>
                <w:b/>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环境、职业健康安全目标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 </w:t>
            </w:r>
            <w:r>
              <w:rPr>
                <w:rFonts w:hint="eastAsia" w:asciiTheme="minorEastAsia" w:hAnsiTheme="minorEastAsia" w:eastAsiaTheme="minorEastAsia" w:cstheme="minorEastAsia"/>
                <w:sz w:val="21"/>
                <w:szCs w:val="21"/>
              </w:rPr>
              <w:t>合同履行率100%</w:t>
            </w:r>
            <w:r>
              <w:rPr>
                <w:rFonts w:hint="eastAsia" w:asciiTheme="minorEastAsia" w:hAnsiTheme="minorEastAsia" w:eastAsiaTheme="minorEastAsia" w:cstheme="minorEastAsia"/>
                <w:color w:val="000000"/>
                <w:sz w:val="21"/>
                <w:szCs w:val="21"/>
              </w:rPr>
              <w:t>；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宋体" w:hAnsi="宋体"/>
                <w:color w:val="000000"/>
                <w:sz w:val="21"/>
                <w:szCs w:val="21"/>
              </w:rPr>
              <w:t>2) 顾客满意率≥90分。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火灾发生率为0； </w:t>
            </w:r>
          </w:p>
          <w:p>
            <w:pPr>
              <w:tabs>
                <w:tab w:val="left" w:pos="3731"/>
              </w:tabs>
              <w:adjustRightInd w:val="0"/>
              <w:snapToGrid w:val="0"/>
              <w:spacing w:line="312"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固废处置合规率100%； </w:t>
            </w:r>
          </w:p>
          <w:p>
            <w:pPr>
              <w:tabs>
                <w:tab w:val="left" w:pos="3731"/>
              </w:tabs>
              <w:adjustRightInd w:val="0"/>
              <w:snapToGrid w:val="0"/>
              <w:spacing w:line="312" w:lineRule="auto"/>
              <w:rPr>
                <w:rFonts w:ascii="宋体" w:hAnsi="宋体" w:eastAsia="宋体" w:cs="Times New Roman"/>
                <w:b/>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员工意外伤害为0。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ind w:firstLine="525" w:firstLineChars="250"/>
              <w:rPr>
                <w:rFonts w:ascii="宋体" w:hAnsi="宋体" w:eastAsia="宋体" w:cs="Times New Roman"/>
                <w:b/>
                <w:kern w:val="2"/>
                <w:sz w:val="21"/>
                <w:szCs w:val="21"/>
                <w:lang w:val="en-US" w:eastAsia="zh-CN" w:bidi="ar-SA"/>
              </w:rPr>
            </w:pPr>
            <w:r>
              <w:rPr>
                <w:rFonts w:hint="eastAsia" w:ascii="宋体" w:hAnsi="宋体" w:cs="宋体"/>
                <w:sz w:val="21"/>
                <w:szCs w:val="21"/>
              </w:rPr>
              <w:t>办公面积300平方左右，主要生产设备包括</w:t>
            </w:r>
            <w:r>
              <w:rPr>
                <w:rFonts w:hint="eastAsia" w:ascii="宋体" w:hAnsi="宋体" w:cs="宋体"/>
                <w:color w:val="000000"/>
                <w:sz w:val="21"/>
                <w:szCs w:val="21"/>
              </w:rPr>
              <w:t>：</w:t>
            </w:r>
            <w:r>
              <w:rPr>
                <w:rFonts w:hint="eastAsia"/>
                <w:sz w:val="21"/>
                <w:szCs w:val="21"/>
              </w:rPr>
              <w:t>办公设备、电脑、巡更棒</w:t>
            </w:r>
            <w:r>
              <w:rPr>
                <w:rStyle w:val="16"/>
                <w:rFonts w:hint="eastAsia" w:ascii="宋体" w:hAnsi="宋体"/>
                <w:color w:val="auto"/>
                <w:sz w:val="21"/>
                <w:szCs w:val="21"/>
              </w:rPr>
              <w:t>、对讲机、电筒</w:t>
            </w:r>
            <w:r>
              <w:rPr>
                <w:rStyle w:val="16"/>
                <w:rFonts w:hint="eastAsia" w:ascii="宋体" w:hAnsi="宋体"/>
                <w:color w:val="auto"/>
                <w:sz w:val="21"/>
                <w:szCs w:val="21"/>
                <w:lang w:eastAsia="zh-CN"/>
              </w:rPr>
              <w:t>、</w:t>
            </w:r>
            <w:r>
              <w:rPr>
                <w:rStyle w:val="16"/>
                <w:rFonts w:hint="eastAsia" w:ascii="宋体" w:hAnsi="宋体"/>
                <w:color w:val="auto"/>
                <w:sz w:val="21"/>
                <w:szCs w:val="21"/>
                <w:lang w:val="en-US" w:eastAsia="zh-CN"/>
              </w:rPr>
              <w:t>扫帚、拖把</w:t>
            </w:r>
            <w:r>
              <w:rPr>
                <w:rStyle w:val="16"/>
                <w:rFonts w:hint="eastAsia" w:ascii="宋体" w:hAnsi="宋体"/>
                <w:color w:val="auto"/>
                <w:sz w:val="21"/>
                <w:szCs w:val="21"/>
              </w:rPr>
              <w:t>等</w:t>
            </w:r>
            <w:r>
              <w:rPr>
                <w:rFonts w:hint="eastAsia" w:ascii="宋体" w:hAnsi="宋体" w:cs="宋体"/>
                <w:color w:val="000000"/>
                <w:sz w:val="21"/>
                <w:szCs w:val="21"/>
              </w:rPr>
              <w:t>，可以满足</w:t>
            </w:r>
            <w:r>
              <w:rPr>
                <w:rFonts w:hint="eastAsia" w:ascii="宋体" w:hAnsi="宋体"/>
                <w:sz w:val="21"/>
                <w:szCs w:val="21"/>
                <w:lang w:val="de-DE"/>
              </w:rPr>
              <w:t>物业管理服务</w:t>
            </w:r>
            <w:r>
              <w:rPr>
                <w:rFonts w:hint="eastAsia" w:ascii="宋体" w:hAnsi="宋体" w:cs="宋体"/>
                <w:color w:val="000000"/>
                <w:sz w:val="21"/>
                <w:szCs w:val="21"/>
              </w:rPr>
              <w:t>需要。业务</w:t>
            </w:r>
            <w:r>
              <w:rPr>
                <w:rFonts w:hint="eastAsia" w:ascii="宋体" w:hAnsi="宋体" w:cs="宋体"/>
                <w:sz w:val="21"/>
                <w:szCs w:val="21"/>
              </w:rPr>
              <w:t>部对设备按月方式进行点检维护保养，并实施</w:t>
            </w:r>
            <w:r>
              <w:rPr>
                <w:rFonts w:hint="eastAsia" w:ascii="宋体" w:hAnsi="宋体" w:cs="宋体"/>
                <w:color w:val="000000"/>
                <w:sz w:val="21"/>
                <w:szCs w:val="21"/>
              </w:rPr>
              <w:t>。特种设备：</w:t>
            </w:r>
            <w:r>
              <w:rPr>
                <w:rFonts w:hint="eastAsia"/>
                <w:sz w:val="21"/>
                <w:szCs w:val="21"/>
              </w:rPr>
              <w:t>无</w:t>
            </w:r>
            <w:r>
              <w:rPr>
                <w:rFonts w:hint="eastAsia" w:ascii="宋体" w:hAnsi="宋体"/>
                <w:sz w:val="21"/>
                <w:szCs w:val="21"/>
              </w:rPr>
              <w:t>。</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 w:val="21"/>
                <w:szCs w:val="21"/>
              </w:rPr>
              <w:t>办公区域内设备布置合理，照明设施齐全，均配备了灭火器、消防栓等设施。目前公司主要为客户提供</w:t>
            </w:r>
            <w:r>
              <w:rPr>
                <w:rFonts w:hint="eastAsia" w:ascii="宋体" w:hAnsi="宋体"/>
                <w:sz w:val="21"/>
                <w:szCs w:val="21"/>
                <w:lang w:val="de-DE"/>
              </w:rPr>
              <w:t>物业管理服务</w:t>
            </w:r>
            <w:r>
              <w:rPr>
                <w:rFonts w:hint="eastAsia" w:ascii="宋体" w:hAnsi="宋体"/>
                <w:sz w:val="21"/>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highlight w:val="none"/>
              </w:rPr>
            </w:pPr>
            <w:r>
              <w:rPr>
                <w:rFonts w:hint="eastAsia" w:ascii="宋体" w:hAnsi="宋体"/>
                <w:b/>
                <w:sz w:val="21"/>
                <w:szCs w:val="21"/>
              </w:rPr>
              <w:t>监视和测</w:t>
            </w:r>
            <w:r>
              <w:rPr>
                <w:rFonts w:hint="eastAsia" w:ascii="宋体" w:hAnsi="宋体"/>
                <w:b/>
                <w:sz w:val="21"/>
                <w:szCs w:val="21"/>
                <w:highlight w:val="none"/>
              </w:rPr>
              <w:t>量资源</w:t>
            </w:r>
          </w:p>
          <w:p>
            <w:pPr>
              <w:spacing w:line="400" w:lineRule="exact"/>
              <w:rPr>
                <w:rFonts w:hint="default" w:ascii="宋体" w:hAnsi="宋体" w:eastAsia="宋体" w:cs="Times New Roman"/>
                <w:b/>
                <w:kern w:val="2"/>
                <w:sz w:val="21"/>
                <w:szCs w:val="21"/>
                <w:lang w:val="en-US" w:eastAsia="zh-CN" w:bidi="ar-SA"/>
              </w:rPr>
            </w:pPr>
            <w:r>
              <w:rPr>
                <w:rFonts w:hint="eastAsia"/>
                <w:sz w:val="21"/>
                <w:szCs w:val="21"/>
                <w:highlight w:val="none"/>
                <w:lang w:val="en-US" w:eastAsia="zh-CN"/>
              </w:rPr>
              <w:t>服务过程</w:t>
            </w:r>
            <w:r>
              <w:rPr>
                <w:rFonts w:hint="eastAsia"/>
                <w:sz w:val="21"/>
                <w:szCs w:val="21"/>
                <w:highlight w:val="none"/>
              </w:rPr>
              <w:t>无</w:t>
            </w:r>
            <w:r>
              <w:rPr>
                <w:rFonts w:hint="eastAsia"/>
                <w:sz w:val="21"/>
                <w:szCs w:val="21"/>
                <w:highlight w:val="none"/>
                <w:lang w:val="en-US" w:eastAsia="zh-CN"/>
              </w:rPr>
              <w:t>检测设备</w:t>
            </w:r>
            <w:r>
              <w:rPr>
                <w:rFonts w:hint="eastAsia"/>
                <w:sz w:val="21"/>
                <w:szCs w:val="21"/>
                <w:highlight w:val="none"/>
              </w:rPr>
              <w:t>，采取人为检查、核对方式进行</w:t>
            </w:r>
            <w:r>
              <w:rPr>
                <w:rFonts w:hint="eastAsia"/>
                <w:sz w:val="21"/>
                <w:szCs w:val="21"/>
                <w:highlight w:val="none"/>
                <w:lang w:eastAsia="zh-CN"/>
              </w:rPr>
              <w:t>。</w:t>
            </w:r>
            <w:r>
              <w:rPr>
                <w:rFonts w:hint="eastAsia"/>
                <w:sz w:val="21"/>
                <w:szCs w:val="21"/>
                <w:highlight w:val="none"/>
                <w:lang w:val="en-US" w:eastAsia="zh-CN"/>
              </w:rPr>
              <w:t>在项目部的设施设备维护过程中检测设备有万用</w:t>
            </w:r>
            <w:r>
              <w:rPr>
                <w:rFonts w:hint="eastAsia"/>
                <w:color w:val="auto"/>
                <w:sz w:val="21"/>
                <w:szCs w:val="21"/>
                <w:highlight w:val="none"/>
                <w:lang w:val="en-US" w:eastAsia="zh-CN"/>
              </w:rPr>
              <w:t>表</w:t>
            </w:r>
            <w:r>
              <w:rPr>
                <w:rFonts w:hint="eastAsia" w:ascii="宋体" w:hAnsi="宋体" w:cs="宋体"/>
                <w:color w:val="auto"/>
                <w:sz w:val="21"/>
                <w:szCs w:val="21"/>
                <w:highlight w:val="none"/>
                <w:lang w:val="en-US" w:eastAsia="zh-CN"/>
              </w:rPr>
              <w:t>，采用委外送检，提供有有效的校准证书，详情见附件。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环保设施：</w:t>
            </w: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职业健康安全设施：</w:t>
            </w:r>
            <w:r>
              <w:rPr>
                <w:rFonts w:hint="eastAsia" w:ascii="宋体" w:hAnsi="宋体"/>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sz w:val="21"/>
                <w:szCs w:val="21"/>
              </w:rPr>
            </w:pPr>
          </w:p>
          <w:p>
            <w:pPr>
              <w:spacing w:line="240" w:lineRule="exact"/>
              <w:rPr>
                <w:rFonts w:ascii="楷体_GB2312"/>
                <w:b/>
                <w:color w:val="000000" w:themeColor="text1"/>
                <w:sz w:val="21"/>
                <w:szCs w:val="21"/>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 w:val="21"/>
                <w:szCs w:val="21"/>
              </w:rPr>
            </w:pPr>
          </w:p>
          <w:p>
            <w:pPr>
              <w:spacing w:line="240" w:lineRule="exact"/>
              <w:rPr>
                <w:rFonts w:ascii="宋体" w:hAnsi="宋体" w:cs="宋体"/>
                <w:color w:val="000000"/>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 w:val="21"/>
                <w:szCs w:val="21"/>
              </w:rPr>
            </w:pPr>
          </w:p>
          <w:p>
            <w:pPr>
              <w:spacing w:line="240" w:lineRule="exact"/>
              <w:rPr>
                <w:rFonts w:ascii="宋体" w:hAnsi="宋体" w:cs="宋体"/>
                <w:color w:val="000000"/>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 w:val="21"/>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 w:val="21"/>
                <w:szCs w:val="21"/>
              </w:rPr>
            </w:pPr>
            <w:r>
              <w:rPr>
                <w:rFonts w:hint="eastAsia" w:ascii="宋体" w:hAnsi="宋体" w:cs="宋体"/>
                <w:color w:val="000000"/>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color w:val="auto"/>
                <w:sz w:val="21"/>
                <w:szCs w:val="21"/>
              </w:rPr>
              <w:t>潜在火灾、固废排放、化粪池废气等</w:t>
            </w:r>
            <w:r>
              <w:rPr>
                <w:rFonts w:hint="eastAsia" w:asciiTheme="minorEastAsia" w:hAnsiTheme="minorEastAsia" w:eastAsiaTheme="minorEastAsia"/>
                <w:bCs/>
                <w:iCs/>
                <w:color w:val="auto"/>
                <w:sz w:val="21"/>
                <w:szCs w:val="21"/>
              </w:rPr>
              <w:t>，需要</w:t>
            </w:r>
            <w:r>
              <w:rPr>
                <w:rFonts w:hint="eastAsia" w:asciiTheme="minorEastAsia" w:hAnsiTheme="minorEastAsia" w:eastAsiaTheme="minorEastAsia"/>
                <w:bCs/>
                <w:iCs/>
                <w:sz w:val="21"/>
                <w:szCs w:val="21"/>
              </w:rPr>
              <w:t>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3"/>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火灾、触电、</w:t>
            </w:r>
            <w:r>
              <w:rPr>
                <w:rFonts w:hint="eastAsia" w:ascii="宋体" w:hAnsi="宋体"/>
                <w:color w:val="000000"/>
                <w:sz w:val="21"/>
                <w:szCs w:val="21"/>
              </w:rPr>
              <w:t>高空坠落、摔伤、</w:t>
            </w:r>
            <w:r>
              <w:rPr>
                <w:rFonts w:hint="eastAsia" w:ascii="宋体" w:hAnsi="宋体"/>
                <w:color w:val="auto"/>
                <w:sz w:val="21"/>
                <w:szCs w:val="21"/>
              </w:rPr>
              <w:t>受限空间作业等</w:t>
            </w:r>
            <w:r>
              <w:rPr>
                <w:rFonts w:hint="eastAsia" w:asciiTheme="minorEastAsia" w:hAnsiTheme="minorEastAsia" w:eastAsiaTheme="minorEastAsia"/>
                <w:bCs/>
                <w:iCs/>
                <w:color w:val="auto"/>
                <w:sz w:val="21"/>
                <w:szCs w:val="21"/>
              </w:rPr>
              <w:t>），</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color w:val="000000"/>
                <w:sz w:val="21"/>
                <w:szCs w:val="21"/>
                <w:highlight w:val="none"/>
              </w:rPr>
              <w:t>过</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年1月-202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年3月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numPr>
                <w:ilvl w:val="0"/>
                <w:numId w:val="4"/>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sz w:val="21"/>
                <w:szCs w:val="21"/>
                <w:highlight w:val="none"/>
              </w:rPr>
              <w:t>，</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年3月实施，满意度评价9</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r>
              <w:rPr>
                <w:rFonts w:hint="eastAsia" w:ascii="宋体" w:hAnsi="宋体" w:cs="宋体"/>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 w:val="21"/>
                <w:szCs w:val="21"/>
              </w:rPr>
              <w:t>建立有《内部审核控制程序》，规定了内审频次一年一次，内审时间：</w:t>
            </w:r>
            <w:r>
              <w:rPr>
                <w:rFonts w:hint="eastAsia" w:ascii="宋体" w:hAnsi="宋体" w:cs="宋体"/>
                <w:sz w:val="21"/>
                <w:szCs w:val="21"/>
                <w:lang w:val="en-US" w:eastAsia="zh-CN"/>
              </w:rPr>
              <w:t>2021年3月18日</w:t>
            </w:r>
            <w:r>
              <w:rPr>
                <w:rFonts w:hint="eastAsia" w:ascii="宋体" w:hAnsi="宋体" w:cs="宋体"/>
                <w:sz w:val="21"/>
                <w:szCs w:val="21"/>
              </w:rPr>
              <w:t>，拟定了审核实施表，明确了内审范围，内审人员经培训合格上岗，能力满足要求，未出现审核本部门情况，内审不符合项1项，涉及行政部Q</w:t>
            </w:r>
            <w:r>
              <w:rPr>
                <w:rFonts w:hint="eastAsia" w:ascii="宋体" w:hAnsi="宋体" w:cs="宋体"/>
                <w:sz w:val="21"/>
                <w:szCs w:val="21"/>
                <w:lang w:val="en-US" w:eastAsia="zh-CN"/>
              </w:rPr>
              <w:t>8.4</w:t>
            </w:r>
            <w:r>
              <w:rPr>
                <w:rFonts w:hint="eastAsia" w:ascii="宋体" w:hAnsi="宋体" w:cs="宋体"/>
                <w:sz w:val="21"/>
                <w:szCs w:val="21"/>
              </w:rPr>
              <w:t>条款</w:t>
            </w:r>
            <w:r>
              <w:rPr>
                <w:rFonts w:hint="eastAsia" w:ascii="宋体" w:hAnsi="宋体" w:cs="宋体"/>
                <w:sz w:val="21"/>
                <w:szCs w:val="21"/>
                <w:lang w:val="en-US" w:eastAsia="zh-CN"/>
              </w:rPr>
              <w:t>不能提供2021年对供应商东奥达电梯工程有限公司进行再评价的相关证据</w:t>
            </w:r>
            <w:r>
              <w:rPr>
                <w:rFonts w:hint="eastAsia" w:ascii="宋体" w:hAnsi="宋体" w:cs="宋体"/>
                <w:sz w:val="21"/>
                <w:szCs w:val="21"/>
              </w:rPr>
              <w:t>，</w:t>
            </w:r>
            <w:r>
              <w:rPr>
                <w:rFonts w:hint="eastAsia" w:ascii="宋体" w:hAnsi="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highlight w:val="none"/>
                <w:lang w:val="en-US" w:eastAsia="zh-CN" w:bidi="ar-SA"/>
              </w:rPr>
            </w:pPr>
            <w:r>
              <w:rPr>
                <w:rFonts w:hint="eastAsia" w:ascii="宋体" w:hAnsi="宋体" w:cs="宋体"/>
                <w:sz w:val="21"/>
                <w:szCs w:val="21"/>
                <w:highlight w:val="none"/>
              </w:rPr>
              <w:t>管理评审频次为一年一次、本次管理评审于2020年4月</w:t>
            </w:r>
            <w:r>
              <w:rPr>
                <w:rFonts w:hint="eastAsia" w:ascii="宋体" w:hAnsi="宋体" w:cs="宋体"/>
                <w:sz w:val="21"/>
                <w:szCs w:val="21"/>
                <w:highlight w:val="none"/>
                <w:lang w:val="en-US" w:eastAsia="zh-CN"/>
              </w:rPr>
              <w:t>8</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5"/>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eastAsia="宋体" w:cs="Times New Roman"/>
                <w:b/>
                <w:kern w:val="2"/>
                <w:sz w:val="21"/>
                <w:szCs w:val="21"/>
                <w:lang w:val="en-US" w:eastAsia="zh-CN" w:bidi="ar-SA"/>
              </w:rPr>
            </w:pPr>
            <w:r>
              <w:rPr>
                <w:rFonts w:hint="eastAsia" w:ascii="宋体" w:hAnsi="宋体"/>
                <w:b/>
                <w:sz w:val="21"/>
                <w:szCs w:val="21"/>
              </w:rPr>
              <w:t xml:space="preserve">  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cs="Times New Roman"/>
                <w:b/>
                <w:kern w:val="2"/>
                <w:sz w:val="21"/>
                <w:szCs w:val="21"/>
                <w:lang w:val="en-US" w:eastAsia="zh-CN" w:bidi="ar-SA"/>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hint="eastAsia" w:ascii="宋体" w:hAnsi="宋体" w:eastAsia="宋体" w:cs="Times New Roman"/>
                <w:b/>
                <w:kern w:val="2"/>
                <w:sz w:val="21"/>
                <w:szCs w:val="21"/>
                <w:lang w:val="en-US" w:eastAsia="zh-CN" w:bidi="ar-SA"/>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continue"/>
            <w:vAlign w:val="center"/>
          </w:tcPr>
          <w:p>
            <w:pPr>
              <w:spacing w:line="240" w:lineRule="exact"/>
              <w:jc w:val="center"/>
              <w:rPr>
                <w:b/>
                <w:sz w:val="21"/>
                <w:szCs w:val="21"/>
              </w:rPr>
            </w:pPr>
          </w:p>
        </w:tc>
        <w:tc>
          <w:tcPr>
            <w:tcW w:w="9198" w:type="dxa"/>
          </w:tcPr>
          <w:p>
            <w:pPr>
              <w:tabs>
                <w:tab w:val="center" w:pos="3169"/>
              </w:tabs>
              <w:spacing w:line="400" w:lineRule="exact"/>
              <w:jc w:val="lef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rPr>
              <w:br w:type="textWrapping"/>
            </w:r>
            <w:r>
              <w:rPr>
                <w:rFonts w:hint="eastAsia" w:ascii="宋体" w:hAnsi="宋体"/>
                <w:b w:val="0"/>
                <w:bCs/>
                <w:sz w:val="21"/>
                <w:szCs w:val="21"/>
                <w:lang w:eastAsia="zh-CN"/>
              </w:rPr>
              <w:t>上</w:t>
            </w:r>
            <w:r>
              <w:rPr>
                <w:rFonts w:hint="eastAsia"/>
                <w:b w:val="0"/>
                <w:bCs/>
                <w:sz w:val="21"/>
                <w:szCs w:val="21"/>
              </w:rPr>
              <w:t>次</w:t>
            </w:r>
            <w:r>
              <w:rPr>
                <w:rFonts w:hint="eastAsia" w:ascii="宋体" w:hAnsi="宋体"/>
                <w:b w:val="0"/>
                <w:bCs/>
                <w:sz w:val="21"/>
                <w:szCs w:val="21"/>
              </w:rPr>
              <w:t>不符合为</w:t>
            </w:r>
            <w:r>
              <w:rPr>
                <w:rFonts w:hint="eastAsia"/>
                <w:b w:val="0"/>
                <w:bCs/>
                <w:color w:val="000000" w:themeColor="text1"/>
                <w:sz w:val="21"/>
                <w:szCs w:val="21"/>
              </w:rPr>
              <w:t>项目部条款Q7.1.5</w:t>
            </w:r>
            <w:r>
              <w:rPr>
                <w:rFonts w:hint="eastAsia" w:ascii="宋体" w:hAnsi="宋体"/>
                <w:b w:val="0"/>
                <w:bCs/>
                <w:sz w:val="21"/>
                <w:szCs w:val="21"/>
              </w:rPr>
              <w:t>，经本次审核验证均整改且无类似不符合情况出现</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项分布在</w:t>
      </w:r>
      <w:r>
        <w:rPr>
          <w:rFonts w:hint="eastAsia" w:ascii="宋体" w:hAnsi="宋体"/>
          <w:b/>
          <w:szCs w:val="21"/>
          <w:highlight w:val="none"/>
          <w:lang w:val="en-US" w:eastAsia="zh-CN"/>
        </w:rPr>
        <w:t>项目部</w:t>
      </w:r>
      <w:r>
        <w:rPr>
          <w:rFonts w:hint="eastAsia" w:ascii="宋体" w:hAnsi="宋体"/>
          <w:b/>
          <w:szCs w:val="21"/>
          <w:highlight w:val="none"/>
        </w:rPr>
        <w:t>部门</w:t>
      </w:r>
      <w:r>
        <w:rPr>
          <w:rFonts w:hint="eastAsia" w:ascii="宋体" w:hAnsi="宋体"/>
          <w:b/>
          <w:szCs w:val="21"/>
          <w:highlight w:val="none"/>
          <w:lang w:val="en-US" w:eastAsia="zh-CN"/>
        </w:rPr>
        <w:t>Q8.5.1</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pStyle w:val="2"/>
      </w:pP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pStyle w:val="2"/>
      </w:pPr>
    </w:p>
    <w:p>
      <w:pPr>
        <w:numPr>
          <w:ilvl w:val="0"/>
          <w:numId w:val="6"/>
        </w:numPr>
        <w:spacing w:before="163" w:beforeLines="50" w:after="163" w:afterLines="50"/>
        <w:ind w:left="-122" w:leftChars="-51" w:firstLine="128" w:firstLineChars="46"/>
        <w:rPr>
          <w:rFonts w:hint="eastAsia"/>
          <w:b/>
          <w:sz w:val="26"/>
          <w:szCs w:val="26"/>
          <w:lang w:val="en-US" w:eastAsia="zh-CN"/>
        </w:rPr>
      </w:pP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pStyle w:val="2"/>
        <w:numPr>
          <w:numId w:val="0"/>
        </w:numPr>
      </w:pPr>
    </w:p>
    <w:p>
      <w:pPr>
        <w:tabs>
          <w:tab w:val="left" w:pos="645"/>
        </w:tabs>
        <w:spacing w:after="163" w:afterLines="50" w:line="360" w:lineRule="exact"/>
        <w:rPr>
          <w:b/>
          <w:sz w:val="16"/>
          <w:szCs w:val="16"/>
          <w:highlight w:val="none"/>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1891665</wp:posOffset>
            </wp:positionH>
            <wp:positionV relativeFrom="paragraph">
              <wp:posOffset>264795</wp:posOffset>
            </wp:positionV>
            <wp:extent cx="411480" cy="381000"/>
            <wp:effectExtent l="0" t="0" r="7620" b="0"/>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6"/>
          <w:szCs w:val="26"/>
        </w:rPr>
        <w:t>十二、审核组签字</w:t>
      </w:r>
      <w:bookmarkStart w:id="23" w:name="_GoBack"/>
    </w:p>
    <w:p>
      <w:pPr>
        <w:snapToGrid w:val="0"/>
        <w:spacing w:line="320" w:lineRule="exact"/>
        <w:ind w:firstLine="527" w:firstLineChars="250"/>
        <w:rPr>
          <w:b/>
          <w:sz w:val="21"/>
          <w:highlight w:val="none"/>
        </w:rPr>
      </w:pPr>
      <w:r>
        <w:rPr>
          <w:rFonts w:hint="eastAsia"/>
          <w:b/>
          <w:sz w:val="21"/>
          <w:highlight w:val="none"/>
        </w:rPr>
        <w:t>审核组组长（签名）：</w:t>
      </w:r>
    </w:p>
    <w:p>
      <w:pPr>
        <w:snapToGrid w:val="0"/>
        <w:spacing w:before="163" w:beforeLines="50" w:line="320" w:lineRule="exact"/>
        <w:ind w:firstLine="552" w:firstLineChars="250"/>
        <w:rPr>
          <w:b/>
          <w:sz w:val="21"/>
          <w:highlight w:val="none"/>
        </w:rPr>
      </w:pPr>
      <w:r>
        <w:rPr>
          <w:rFonts w:hint="eastAsia"/>
          <w:b/>
          <w:sz w:val="22"/>
          <w:szCs w:val="22"/>
          <w:highlight w:val="none"/>
        </w:rPr>
        <w:drawing>
          <wp:anchor distT="0" distB="0" distL="114300" distR="114300" simplePos="0" relativeHeight="251660288" behindDoc="0" locked="0" layoutInCell="1" allowOverlap="1">
            <wp:simplePos x="0" y="0"/>
            <wp:positionH relativeFrom="column">
              <wp:posOffset>1766570</wp:posOffset>
            </wp:positionH>
            <wp:positionV relativeFrom="paragraph">
              <wp:posOffset>64770</wp:posOffset>
            </wp:positionV>
            <wp:extent cx="478155" cy="361950"/>
            <wp:effectExtent l="0" t="0" r="4445" b="6350"/>
            <wp:wrapNone/>
            <wp:docPr id="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签名.jpg"/>
                    <pic:cNvPicPr>
                      <a:picLocks noChangeAspect="1"/>
                    </pic:cNvPicPr>
                  </pic:nvPicPr>
                  <pic:blipFill>
                    <a:blip r:embed="rId7"/>
                    <a:stretch>
                      <a:fillRect/>
                    </a:stretch>
                  </pic:blipFill>
                  <pic:spPr>
                    <a:xfrm>
                      <a:off x="0" y="0"/>
                      <a:ext cx="478155" cy="361950"/>
                    </a:xfrm>
                    <a:prstGeom prst="rect">
                      <a:avLst/>
                    </a:prstGeom>
                    <a:noFill/>
                    <a:ln>
                      <a:noFill/>
                    </a:ln>
                  </pic:spPr>
                </pic:pic>
              </a:graphicData>
            </a:graphic>
          </wp:anchor>
        </w:drawing>
      </w:r>
      <w:r>
        <w:rPr>
          <w:sz w:val="24"/>
          <w:highlight w:val="none"/>
        </w:rPr>
        <w:drawing>
          <wp:anchor distT="0" distB="0" distL="114300" distR="114300" simplePos="0" relativeHeight="251662336" behindDoc="0" locked="0" layoutInCell="1" allowOverlap="1">
            <wp:simplePos x="0" y="0"/>
            <wp:positionH relativeFrom="column">
              <wp:posOffset>2227580</wp:posOffset>
            </wp:positionH>
            <wp:positionV relativeFrom="paragraph">
              <wp:posOffset>41910</wp:posOffset>
            </wp:positionV>
            <wp:extent cx="657860" cy="475615"/>
            <wp:effectExtent l="0" t="0" r="2540" b="698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8"/>
                    <a:stretch>
                      <a:fillRect/>
                    </a:stretch>
                  </pic:blipFill>
                  <pic:spPr>
                    <a:xfrm>
                      <a:off x="0" y="0"/>
                      <a:ext cx="657860" cy="475615"/>
                    </a:xfrm>
                    <a:prstGeom prst="rect">
                      <a:avLst/>
                    </a:prstGeom>
                    <a:noFill/>
                    <a:ln>
                      <a:noFill/>
                    </a:ln>
                  </pic:spPr>
                </pic:pic>
              </a:graphicData>
            </a:graphic>
          </wp:anchor>
        </w:drawing>
      </w:r>
      <w:r>
        <w:rPr>
          <w:rFonts w:hint="eastAsia"/>
          <w:b/>
          <w:sz w:val="21"/>
          <w:highlight w:val="none"/>
        </w:rPr>
        <w:t>审核组组员（签名）：</w:t>
      </w:r>
    </w:p>
    <w:p>
      <w:pPr>
        <w:snapToGrid w:val="0"/>
        <w:spacing w:line="280" w:lineRule="exact"/>
        <w:ind w:firstLine="6325" w:firstLineChars="3000"/>
        <w:rPr>
          <w:b/>
          <w:sz w:val="21"/>
          <w:highlight w:val="none"/>
        </w:rPr>
      </w:pPr>
      <w:r>
        <w:rPr>
          <w:rFonts w:hint="eastAsia"/>
          <w:b/>
          <w:sz w:val="21"/>
          <w:highlight w:val="none"/>
        </w:rPr>
        <w:t>日期：</w:t>
      </w:r>
      <w:r>
        <w:rPr>
          <w:rFonts w:hint="eastAsia"/>
          <w:color w:val="000000"/>
          <w:szCs w:val="21"/>
          <w:highlight w:val="none"/>
        </w:rPr>
        <w:t>2021年05月12日</w:t>
      </w:r>
    </w:p>
    <w:p>
      <w:pPr>
        <w:snapToGrid w:val="0"/>
        <w:spacing w:line="200" w:lineRule="exact"/>
        <w:ind w:firstLine="482" w:firstLineChars="300"/>
        <w:rPr>
          <w:b/>
          <w:sz w:val="16"/>
          <w:szCs w:val="16"/>
          <w:highlight w:val="none"/>
        </w:rPr>
      </w:pPr>
    </w:p>
    <w:p>
      <w:pPr>
        <w:tabs>
          <w:tab w:val="left" w:pos="645"/>
        </w:tabs>
        <w:spacing w:after="163" w:afterLines="50" w:line="360" w:lineRule="exact"/>
        <w:rPr>
          <w:b/>
          <w:bCs/>
          <w:color w:val="0000FF"/>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color w:val="auto"/>
          <w:sz w:val="21"/>
          <w:szCs w:val="21"/>
          <w:highlight w:val="none"/>
        </w:rPr>
      </w:pPr>
      <w:r>
        <w:rPr>
          <w:b/>
          <w:bCs/>
          <w:color w:val="auto"/>
          <w:sz w:val="21"/>
          <w:szCs w:val="21"/>
          <w:highlight w:val="none"/>
        </w:rPr>
        <w:t>1.</w:t>
      </w:r>
      <w:r>
        <w:rPr>
          <w:rFonts w:hint="eastAsia"/>
          <w:b/>
          <w:bCs/>
          <w:color w:val="auto"/>
          <w:sz w:val="21"/>
          <w:szCs w:val="21"/>
          <w:highlight w:val="none"/>
        </w:rPr>
        <w:t>审核中发现的</w:t>
      </w:r>
      <w:r>
        <w:rPr>
          <w:rFonts w:hint="eastAsia"/>
          <w:b/>
          <w:color w:val="auto"/>
          <w:sz w:val="21"/>
          <w:szCs w:val="21"/>
          <w:highlight w:val="none"/>
        </w:rPr>
        <w:sym w:font="Wingdings 2" w:char="0052"/>
      </w:r>
      <w:r>
        <w:rPr>
          <w:b/>
          <w:color w:val="auto"/>
          <w:sz w:val="21"/>
          <w:szCs w:val="21"/>
          <w:highlight w:val="none"/>
        </w:rPr>
        <w:t>QMS (</w:t>
      </w:r>
      <w:r>
        <w:rPr>
          <w:rFonts w:hint="eastAsia"/>
          <w:b/>
          <w:color w:val="auto"/>
          <w:sz w:val="21"/>
          <w:szCs w:val="21"/>
          <w:highlight w:val="none"/>
          <w:lang w:val="en-US" w:eastAsia="zh-CN"/>
        </w:rPr>
        <w:t xml:space="preserve"> 1 </w:t>
      </w:r>
      <w:r>
        <w:rPr>
          <w:b/>
          <w:color w:val="auto"/>
          <w:sz w:val="21"/>
          <w:szCs w:val="21"/>
          <w:highlight w:val="none"/>
        </w:rPr>
        <w:t>)</w:t>
      </w:r>
      <w:r>
        <w:rPr>
          <w:rFonts w:hint="eastAsia"/>
          <w:b/>
          <w:color w:val="auto"/>
          <w:sz w:val="21"/>
          <w:szCs w:val="21"/>
          <w:highlight w:val="none"/>
        </w:rPr>
        <w:t>个一般不符合，</w:t>
      </w:r>
      <w:r>
        <w:rPr>
          <w:b/>
          <w:color w:val="auto"/>
          <w:sz w:val="21"/>
          <w:szCs w:val="21"/>
          <w:highlight w:val="none"/>
        </w:rPr>
        <w:t>(</w:t>
      </w:r>
      <w:r>
        <w:rPr>
          <w:rFonts w:hint="eastAsia"/>
          <w:b/>
          <w:color w:val="auto"/>
          <w:sz w:val="21"/>
          <w:szCs w:val="21"/>
          <w:highlight w:val="none"/>
          <w:lang w:val="en-US" w:eastAsia="zh-CN"/>
        </w:rPr>
        <w:t xml:space="preserve"> 0 </w:t>
      </w:r>
      <w:r>
        <w:rPr>
          <w:b/>
          <w:color w:val="auto"/>
          <w:sz w:val="21"/>
          <w:szCs w:val="21"/>
          <w:highlight w:val="none"/>
        </w:rPr>
        <w:t>)</w:t>
      </w:r>
      <w:r>
        <w:rPr>
          <w:rFonts w:hint="eastAsia"/>
          <w:b/>
          <w:color w:val="auto"/>
          <w:sz w:val="21"/>
          <w:szCs w:val="21"/>
          <w:highlight w:val="none"/>
        </w:rPr>
        <w:t>个严重不符合，</w:t>
      </w:r>
      <w:r>
        <w:rPr>
          <w:rFonts w:hint="eastAsia"/>
          <w:b/>
          <w:color w:val="auto"/>
          <w:sz w:val="21"/>
          <w:szCs w:val="21"/>
          <w:highlight w:val="none"/>
        </w:rPr>
        <w:sym w:font="Wingdings 2" w:char="0052"/>
      </w:r>
      <w:r>
        <w:rPr>
          <w:rFonts w:hint="eastAsia"/>
          <w:b/>
          <w:color w:val="auto"/>
          <w:sz w:val="21"/>
          <w:szCs w:val="21"/>
          <w:highlight w:val="none"/>
        </w:rPr>
        <w:t>验证合格□仍有问题</w:t>
      </w:r>
    </w:p>
    <w:p>
      <w:pPr>
        <w:spacing w:line="360" w:lineRule="exact"/>
        <w:ind w:firstLine="843" w:firstLineChars="400"/>
        <w:rPr>
          <w:b/>
          <w:bCs/>
          <w:color w:val="auto"/>
          <w:sz w:val="21"/>
          <w:szCs w:val="21"/>
          <w:highlight w:val="none"/>
        </w:rPr>
      </w:pPr>
      <w:r>
        <w:rPr>
          <w:rFonts w:hint="eastAsia"/>
          <w:b/>
          <w:bCs/>
          <w:color w:val="auto"/>
          <w:sz w:val="21"/>
          <w:szCs w:val="21"/>
          <w:highlight w:val="none"/>
        </w:rPr>
        <w:t>审核中发现的□50430 (    )个一般不符合，(    )个严重不符合，□验证合格□仍有问题</w:t>
      </w:r>
    </w:p>
    <w:p>
      <w:pPr>
        <w:spacing w:line="360" w:lineRule="exact"/>
        <w:ind w:firstLine="843" w:firstLineChars="400"/>
        <w:rPr>
          <w:b/>
          <w:color w:val="auto"/>
          <w:sz w:val="21"/>
          <w:szCs w:val="21"/>
          <w:highlight w:val="none"/>
        </w:rPr>
      </w:pPr>
      <w:r>
        <w:rPr>
          <w:rFonts w:hint="eastAsia"/>
          <w:b/>
          <w:bCs/>
          <w:color w:val="auto"/>
          <w:sz w:val="21"/>
          <w:szCs w:val="21"/>
          <w:highlight w:val="none"/>
        </w:rPr>
        <w:t>审核中发现的</w:t>
      </w:r>
      <w:r>
        <w:rPr>
          <w:rFonts w:hint="eastAsia"/>
          <w:b/>
          <w:color w:val="auto"/>
          <w:sz w:val="21"/>
          <w:szCs w:val="21"/>
          <w:highlight w:val="none"/>
        </w:rPr>
        <w:t>□</w:t>
      </w:r>
      <w:r>
        <w:rPr>
          <w:b/>
          <w:color w:val="auto"/>
          <w:sz w:val="21"/>
          <w:szCs w:val="21"/>
          <w:highlight w:val="none"/>
        </w:rPr>
        <w:t>EMS ()</w:t>
      </w:r>
      <w:r>
        <w:rPr>
          <w:rFonts w:hint="eastAsia"/>
          <w:b/>
          <w:color w:val="auto"/>
          <w:sz w:val="21"/>
          <w:szCs w:val="21"/>
          <w:highlight w:val="none"/>
        </w:rPr>
        <w:t>个一般不符合，</w:t>
      </w:r>
      <w:r>
        <w:rPr>
          <w:b/>
          <w:color w:val="auto"/>
          <w:sz w:val="21"/>
          <w:szCs w:val="21"/>
          <w:highlight w:val="none"/>
        </w:rPr>
        <w:t>( )</w:t>
      </w:r>
      <w:r>
        <w:rPr>
          <w:rFonts w:hint="eastAsia"/>
          <w:b/>
          <w:color w:val="auto"/>
          <w:sz w:val="21"/>
          <w:szCs w:val="21"/>
          <w:highlight w:val="none"/>
        </w:rPr>
        <w:t>个严重不符合，□验证合格□仍有问题</w:t>
      </w:r>
    </w:p>
    <w:p>
      <w:pPr>
        <w:spacing w:line="360" w:lineRule="exact"/>
        <w:ind w:firstLine="843" w:firstLineChars="400"/>
        <w:rPr>
          <w:b/>
          <w:color w:val="auto"/>
          <w:sz w:val="21"/>
          <w:szCs w:val="21"/>
          <w:highlight w:val="none"/>
        </w:rPr>
      </w:pPr>
      <w:r>
        <w:rPr>
          <w:rFonts w:hint="eastAsia"/>
          <w:b/>
          <w:bCs/>
          <w:color w:val="auto"/>
          <w:sz w:val="21"/>
          <w:szCs w:val="21"/>
          <w:highlight w:val="none"/>
        </w:rPr>
        <w:t>审核中发现的</w:t>
      </w:r>
      <w:r>
        <w:rPr>
          <w:rFonts w:hint="eastAsia"/>
          <w:b/>
          <w:color w:val="auto"/>
          <w:sz w:val="21"/>
          <w:szCs w:val="21"/>
          <w:highlight w:val="none"/>
        </w:rPr>
        <w:t>□</w:t>
      </w:r>
      <w:r>
        <w:rPr>
          <w:b/>
          <w:color w:val="auto"/>
          <w:sz w:val="21"/>
          <w:szCs w:val="21"/>
          <w:highlight w:val="none"/>
        </w:rPr>
        <w:t>OHSMS (    )</w:t>
      </w:r>
      <w:r>
        <w:rPr>
          <w:rFonts w:hint="eastAsia"/>
          <w:b/>
          <w:color w:val="auto"/>
          <w:sz w:val="21"/>
          <w:szCs w:val="21"/>
          <w:highlight w:val="none"/>
        </w:rPr>
        <w:t>个一般不符合，</w:t>
      </w:r>
      <w:r>
        <w:rPr>
          <w:b/>
          <w:color w:val="auto"/>
          <w:sz w:val="21"/>
          <w:szCs w:val="21"/>
          <w:highlight w:val="none"/>
        </w:rPr>
        <w:t>(    )</w:t>
      </w:r>
      <w:r>
        <w:rPr>
          <w:rFonts w:hint="eastAsia"/>
          <w:b/>
          <w:color w:val="auto"/>
          <w:sz w:val="21"/>
          <w:szCs w:val="21"/>
          <w:highlight w:val="none"/>
        </w:rPr>
        <w:t>个严重不符合，□验证合格□仍有问题</w:t>
      </w:r>
      <w:r>
        <w:rPr>
          <w:rFonts w:hint="eastAsia"/>
          <w:b/>
          <w:bCs/>
          <w:color w:val="auto"/>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bookmarkEnd w:id="23"/>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1246505</wp:posOffset>
            </wp:positionH>
            <wp:positionV relativeFrom="paragraph">
              <wp:posOffset>33020</wp:posOffset>
            </wp:positionV>
            <wp:extent cx="411480" cy="381000"/>
            <wp:effectExtent l="0" t="0" r="7620" b="0"/>
            <wp:wrapNone/>
            <wp:docPr id="4"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9023519"/>
    <w:multiLevelType w:val="singleLevel"/>
    <w:tmpl w:val="49023519"/>
    <w:lvl w:ilvl="0" w:tentative="0">
      <w:start w:val="11"/>
      <w:numFmt w:val="chineseCounting"/>
      <w:suff w:val="nothing"/>
      <w:lvlText w:val="%1、"/>
      <w:lvlJc w:val="left"/>
      <w:rPr>
        <w:rFonts w:hint="eastAsia"/>
      </w:r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B7DDD"/>
    <w:rsid w:val="417C279E"/>
    <w:rsid w:val="4F5F6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9</TotalTime>
  <ScaleCrop>false</ScaleCrop>
  <LinksUpToDate>false</LinksUpToDate>
  <CharactersWithSpaces>4294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2021-05-12T07:04:06Z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AC8FFB52822B4E8DBEAC9DC72289E2ED</vt:lpwstr>
  </property>
</Properties>
</file>