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82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成都欧林生物科技股份有限公司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成都高新区天欣路99号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王桂渝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18030682384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 w:hAnsi="宋体"/>
                <w:szCs w:val="21"/>
                <w:lang w:eastAsia="zh-CN"/>
              </w:rPr>
              <w:t>樊绍文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wang.guiyu@olymvax.com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0359-2021-O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吸附破伤风疫苗、b型流感嗜血杆菌结合疫苗的技术研发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34.03.01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2021年05月11日 上午至2021年05月12日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34.03.01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李永忠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2021.5.9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2021.5.9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5"/>
        <w:gridCol w:w="1116"/>
        <w:gridCol w:w="542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12：-13:00)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5424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6.1应对风险和机遇的措施；6.1.4措施的策划；6.2目标及其实现的策划；7.1资源；7.4信息和沟通；9.1监视、测量、分析和评价；9.2内部审核；9.3管理评审；10.1事件、不符合和纠正措施；10.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范围的确认，资质的确认，法律法规执行情况，安全投诉，一</w:t>
            </w:r>
            <w:bookmarkStart w:id="17" w:name="_GoBack"/>
            <w:bookmarkEnd w:id="17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阶段问题验证。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424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424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不符合和纠正措施/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3A7C1C"/>
    <w:rsid w:val="277009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2021-05-11T04:29:49Z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80FCA4A5C7E443F8B7A5B2F275072C43</vt:lpwstr>
  </property>
</Properties>
</file>