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河北嘉昶电力工程有限公司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r>
              <w:rPr>
                <w:b/>
                <w:color w:val="000000" w:themeColor="text1"/>
                <w:sz w:val="20"/>
                <w:szCs w:val="20"/>
              </w:rPr>
              <w:t>一级建造师注册证书</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EC:28.04.02</w:t>
            </w:r>
          </w:p>
          <w:p w:rsidR="008E67FF" w:rsidP="008E67FF">
            <w:pPr>
              <w:spacing w:line="240" w:lineRule="exact"/>
              <w:jc w:val="center"/>
              <w:rPr>
                <w:b/>
                <w:color w:val="000000" w:themeColor="text1"/>
                <w:sz w:val="20"/>
                <w:szCs w:val="20"/>
              </w:rPr>
            </w:pPr>
            <w:r>
              <w:rPr>
                <w:b/>
                <w:color w:val="000000" w:themeColor="text1"/>
                <w:sz w:val="20"/>
                <w:szCs w:val="20"/>
              </w:rPr>
              <w:t>E:28.04.02</w:t>
            </w:r>
          </w:p>
          <w:p w:rsidR="008E67FF" w:rsidP="008E67FF">
            <w:pPr>
              <w:spacing w:line="240" w:lineRule="exact"/>
              <w:jc w:val="center"/>
              <w:rPr>
                <w:b/>
                <w:color w:val="000000" w:themeColor="text1"/>
                <w:sz w:val="20"/>
                <w:szCs w:val="20"/>
              </w:rPr>
            </w:pPr>
            <w:r>
              <w:rPr>
                <w:b/>
                <w:color w:val="000000" w:themeColor="text1"/>
                <w:sz w:val="20"/>
                <w:szCs w:val="20"/>
              </w:rPr>
              <w:t>O:28.04.02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EC：GB/T19001-2016/ISO9001:2015和GB/T50430-2017,E：GB/T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河北嘉昶电力工程有限公司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河北省石家庄市裕华区槐安东路158号鑫科国际广场B座902</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河北省石家庄市裕华区槐安东路158号鑫科国际广场B座902</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陶路宾</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15127176392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陶路宾</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陶路宾</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EC：资质范围内电力工程施工总承包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E：资质范围内电力工程施工总承包所涉及场所的相关环境管理活动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O：资质范围内电力工程施工总承包所涉及场所的相关职业健康安全管理活动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EC：28.04.02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E：28.04.02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O：28.04.02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2020-09-01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