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pacing w:val="-2"/>
                <w:szCs w:val="21"/>
                <w:lang w:val="en-US" w:eastAsia="zh-CN"/>
              </w:rPr>
              <w:t>■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浙江五饼二鱼实业有限公司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张雅娟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经查询2021年1-4月份能源目标完成情况为8.60kgce/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元.2021年度的能源目标为≦6.93kgce/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，没有对超目标进行原因分析及制定纠正措施。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2916555</wp:posOffset>
                  </wp:positionH>
                  <wp:positionV relativeFrom="paragraph">
                    <wp:posOffset>160655</wp:posOffset>
                  </wp:positionV>
                  <wp:extent cx="476250" cy="344170"/>
                  <wp:effectExtent l="0" t="0" r="6350" b="11430"/>
                  <wp:wrapSquare wrapText="bothSides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160655</wp:posOffset>
                  </wp:positionV>
                  <wp:extent cx="476250" cy="344170"/>
                  <wp:effectExtent l="0" t="0" r="6350" b="1143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jc w:val="left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12065</wp:posOffset>
                  </wp:positionV>
                  <wp:extent cx="659130" cy="307340"/>
                  <wp:effectExtent l="0" t="0" r="1270" b="10160"/>
                  <wp:wrapSquare wrapText="bothSides"/>
                  <wp:docPr id="2" name="图片 2" descr="cb617c1f8c1fefd6a061e2fd1475c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b617c1f8c1fefd6a061e2fd1475c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               受审核方代表：</w:t>
            </w:r>
          </w:p>
          <w:p>
            <w:pPr>
              <w:pStyle w:val="2"/>
            </w:pPr>
          </w:p>
          <w:p>
            <w:pPr>
              <w:spacing w:before="120" w:after="1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3824605</wp:posOffset>
                  </wp:positionH>
                  <wp:positionV relativeFrom="paragraph">
                    <wp:posOffset>39370</wp:posOffset>
                  </wp:positionV>
                  <wp:extent cx="476250" cy="344170"/>
                  <wp:effectExtent l="0" t="0" r="6350" b="11430"/>
                  <wp:wrapSquare wrapText="bothSides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经查询2021年1-4月份能源目标完成情况为8.60kgce/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元.2021年度的能源目标为≦6.93kgce/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元，没有对超目标进行原因分析及制定纠正措施。</w:t>
            </w:r>
          </w:p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对2021年1-4月份能耗超标进行分析，并制定措施。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对相关人员进行ISO50001：2018标准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条款相关要求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理解不深刻。，没有按月定期进行能耗的目标考核。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对相关人员进行ISO50001：2018标准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条款相关要求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的培训，并定期按月对能耗进行考核。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630" w:firstLineChars="3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经检查，公司已经对2021年1-4月份能耗超标进行了分析，并制定了措施。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经检查，已经对相关人员进行培训，相关人员已经理解了ISO50001：2018标准10.1条款相关要求。纠正措施有效。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42522A"/>
    <w:rsid w:val="03DB0FCC"/>
    <w:rsid w:val="425167E1"/>
    <w:rsid w:val="6E8A0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2021-05-21T06:27:45Z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1D1CC011670B4CD695B97D7492FE460D</vt:lpwstr>
  </property>
</Properties>
</file>