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rFonts w:hint="eastAsia"/>
          <w:b/>
          <w:sz w:val="22"/>
          <w:szCs w:val="22"/>
        </w:rPr>
        <w:t>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浙江五饼二鱼实业有限公司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2.10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潘斯贴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-2537460</wp:posOffset>
                  </wp:positionV>
                  <wp:extent cx="5080000" cy="2327275"/>
                  <wp:effectExtent l="0" t="0" r="0" b="9525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电力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主要的耗能设备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成型机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多层冷压机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锯片磨刀机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曲直线封边机全自动封边机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烤箱、电焊机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国家限额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《中华人民共和国节约能源法》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2、部门规章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《产业结构调整指导目录》（2013年修订）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相关行业的产业政策（如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运动器材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等，有门槛要求）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3、节能技术标准依据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《节能监测技术通则》（GB/T15316－2009）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《综合能耗计算通则》（GB/T2589－2008）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《企业节能量计算方法》（GB/T13234－2009）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《工业企业能源管理导则》（GB/T15587－2008）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《用能单位能源计量器具配备和管理通则》（GB/17167-2008）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 xml:space="preserve">潘斯贴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2021.5.15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22"/>
          <w:szCs w:val="22"/>
          <w:lang w:val="en-US" w:eastAsia="zh-CN"/>
        </w:rPr>
        <w:t>周涛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17448"/>
    <w:rsid w:val="17A0192E"/>
    <w:rsid w:val="6E7C7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2021-05-17T02:22:18Z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33310D5C97724A1CACFA03019B5FED72</vt:lpwstr>
  </property>
</Properties>
</file>