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管理层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主管领导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吴丹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/陪同人员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张雅娟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周涛、潘斯贴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审核时间：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2021.5.14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913304116855563777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2009.2.24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2029.2.23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浙江五饼二鱼实业有限公司成立于2009年02月24日，注册地位于嘉兴市秀洲区王江泾镇元丰东路58号，法定代表人为吴元梅。经营范围包括一般项目：实业投资（不得从事吸收存款、融资担保、代客理财、向社会公众集（融）资等业务）：游乐设备、游乐设施、健身器材、木制家具、校用家具、办公家具、医用家具、木制品、教具、玩具、童车、童床、教学实验设备、教学实验台桌、教学仪器、体育设备、体育用品、文教用品、电子计算机整机、液晶电视机、液晶显示器、电子计算机外部设备、泵、阀门、金属加工机械、塑料制品、不锈钢厨房设备、不锈钢制品、金属铸件、金属锻压件、模具、船用配套设备、环保设备、通用零部件的制造加工、维修；计算机软件的设计开发维护；计算机数据处理服务；监控设备制造及维护；通讯线路、通讯设备的安装；音乐器材、家用电器、塑胶地坪、电线电缆、建筑材料、服装辅料、皮革制品、工艺饰品 、五金交电、机电设备、消防器材、电子产品、文化用品、体育用品、文教用品的销售；环保设备的安装；机械设备的安装；企业形象策划、展览展示、会务的服务；室内装饰工程的施工；从事进出口业务；第二类医疗器械销售。(除依法须经批准的项目外，凭营业执照依法自主开展经营活动)。浙江五饼二鱼实业有限公司具有2处分支机构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bookmarkStart w:id="0" w:name="审核范围"/>
            <w:r>
              <w:rPr>
                <w:rFonts w:hint="eastAsia" w:ascii="Times New Roman" w:hAnsi="Times New Roman" w:cs="Times New Roman"/>
                <w:color w:val="000000"/>
                <w:szCs w:val="21"/>
                <w:u w:val="single"/>
                <w:lang w:val="en-US" w:eastAsia="zh-CN"/>
              </w:rPr>
              <w:t>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0"/>
            <w:r>
              <w:rPr>
                <w:rFonts w:hint="eastAsia" w:ascii="Times New Roman" w:hAnsi="Times New Roman" w:cs="Times New Roman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嘉兴市秀洲区王江泾镇元丰东路58号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嘉兴市秀洲区王江泾镇元丰东路58号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-1082040</wp:posOffset>
                  </wp:positionV>
                  <wp:extent cx="5080000" cy="1674495"/>
                  <wp:effectExtent l="0" t="0" r="0" b="1905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167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cs="Times New Roman"/>
                <w:color w:val="000000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6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10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10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□EMS  □OHSMS  □FSMSMS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EnMS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rPr>
                <w:color w:val="00000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满足要求，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eastAsia="宋体"/>
                <w:color w:val="000000"/>
                <w:szCs w:val="18"/>
                <w:u w:val="single"/>
                <w:lang w:val="en-US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>遵守法规 清洁生产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节能降耗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 xml:space="preserve"> 创新改造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能耗限额 持续改进.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/>
                <w:color w:val="000000"/>
                <w:spacing w:val="-2"/>
                <w:szCs w:val="21"/>
              </w:rPr>
              <w:t>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 w:eastAsia="宋体"/>
                <w:color w:val="000000"/>
                <w:szCs w:val="18"/>
                <w:u w:val="single"/>
                <w:lang w:val="en-US" w:eastAsia="zh-CN"/>
              </w:rPr>
              <w:t>清洁生产，节能达标（节能量），行业先进（能耗限额）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82"/>
              <w:gridCol w:w="1293"/>
              <w:gridCol w:w="2554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目标</w:t>
                  </w:r>
                </w:p>
              </w:tc>
              <w:tc>
                <w:tcPr>
                  <w:tcW w:w="129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考核频次</w:t>
                  </w:r>
                </w:p>
              </w:tc>
              <w:tc>
                <w:tcPr>
                  <w:tcW w:w="255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000000" w:themeColor="text1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2020年的能源目标为6.93kgce/</w:t>
                  </w:r>
                  <w:r>
                    <w:rPr>
                      <w:rFonts w:hint="default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万</w:t>
                  </w: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元</w:t>
                  </w:r>
                </w:p>
              </w:tc>
              <w:tc>
                <w:tcPr>
                  <w:tcW w:w="129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420" w:firstLineChars="200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 w:themeColor="text1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年</w:t>
                  </w:r>
                </w:p>
              </w:tc>
              <w:tc>
                <w:tcPr>
                  <w:tcW w:w="255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 w:themeColor="text1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综合能耗/产值</w:t>
                  </w:r>
                </w:p>
              </w:tc>
              <w:tc>
                <w:tcPr>
                  <w:tcW w:w="244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360" w:firstLineChars="200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 w:themeColor="text1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6.79kgce/</w:t>
                  </w:r>
                  <w:r>
                    <w:rPr>
                      <w:rFonts w:hint="default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万</w:t>
                  </w: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元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color w:val="000000"/>
                <w:spacing w:val="-2"/>
                <w:szCs w:val="21"/>
              </w:rPr>
              <w:t>E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n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2021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4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20~21 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2021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26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一般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tbl>
            <w:tblPr>
              <w:tblStyle w:val="8"/>
              <w:tblpPr w:leftFromText="180" w:rightFromText="180" w:vertAnchor="text" w:horzAnchor="page" w:tblpX="103" w:tblpY="301"/>
              <w:tblOverlap w:val="never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26"/>
              <w:gridCol w:w="2195"/>
              <w:gridCol w:w="38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ind w:firstLine="840" w:firstLineChars="400"/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能耗指标</w:t>
                  </w: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完成情况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单位产品综合能耗≦</w:t>
                  </w: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6.93kgce/</w:t>
                  </w:r>
                  <w:r>
                    <w:rPr>
                      <w:rFonts w:hint="default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万</w:t>
                  </w: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元</w:t>
                  </w: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已完成  </w:t>
                  </w: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hint="default" w:ascii="宋体" w:hAnsi="宋体" w:eastAsia="宋体" w:cs="宋体"/>
                      <w:color w:val="000000" w:themeColor="text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2020年单位产品综合能耗</w:t>
                  </w: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6.79kgce/</w:t>
                  </w:r>
                  <w:r>
                    <w:rPr>
                      <w:rFonts w:hint="default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万</w:t>
                  </w:r>
                  <w:r>
                    <w:rPr>
                      <w:rFonts w:hint="eastAsia" w:eastAsia="宋体"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已完成  </w:t>
                  </w: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已完成  </w:t>
                  </w: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已完成  </w:t>
                  </w:r>
                  <w:r>
                    <w:rPr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hint="default" w:ascii="宋体" w:hAnsi="宋体" w:eastAsia="宋体" w:cs="宋体"/>
                      <w:color w:val="000000" w:themeColor="text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能源目标指标完成情况：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节能评估报告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了解适用的能源法律和其他要求的获取、识别和实施情况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组织能源评审报告的完成情况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近一年是否进行了技术改进？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能源采购包括：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  <w:lang w:val="en-US" w:eastAsia="zh-CN"/>
              </w:rPr>
              <w:t xml:space="preserve">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运行效率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锻压设备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流量计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□审核组成员的可接受性  □一阶段的问题已整改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B73EB"/>
    <w:rsid w:val="002E5391"/>
    <w:rsid w:val="003027A0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01B6F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D4E32"/>
    <w:rsid w:val="006E678B"/>
    <w:rsid w:val="006F4C57"/>
    <w:rsid w:val="0074211D"/>
    <w:rsid w:val="00763D34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71A54"/>
    <w:rsid w:val="00981736"/>
    <w:rsid w:val="009973B4"/>
    <w:rsid w:val="009C0511"/>
    <w:rsid w:val="009F78F1"/>
    <w:rsid w:val="009F7EED"/>
    <w:rsid w:val="00A04720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494445E"/>
    <w:rsid w:val="05A97751"/>
    <w:rsid w:val="07505369"/>
    <w:rsid w:val="07687D49"/>
    <w:rsid w:val="089D2465"/>
    <w:rsid w:val="0B0349A4"/>
    <w:rsid w:val="0B620728"/>
    <w:rsid w:val="0BA547CC"/>
    <w:rsid w:val="0BAB3B27"/>
    <w:rsid w:val="0BC26CBE"/>
    <w:rsid w:val="0BD25C51"/>
    <w:rsid w:val="0BF31613"/>
    <w:rsid w:val="0CBD2869"/>
    <w:rsid w:val="0CE360D5"/>
    <w:rsid w:val="0D2E023B"/>
    <w:rsid w:val="0DE37984"/>
    <w:rsid w:val="0E7B2CC7"/>
    <w:rsid w:val="0F0D1284"/>
    <w:rsid w:val="0F751007"/>
    <w:rsid w:val="108219C2"/>
    <w:rsid w:val="10957F92"/>
    <w:rsid w:val="109E2734"/>
    <w:rsid w:val="10AB520A"/>
    <w:rsid w:val="11537B43"/>
    <w:rsid w:val="117527B1"/>
    <w:rsid w:val="117E6D5A"/>
    <w:rsid w:val="11B94A66"/>
    <w:rsid w:val="11CD659A"/>
    <w:rsid w:val="12787EE6"/>
    <w:rsid w:val="12D12C05"/>
    <w:rsid w:val="130E504F"/>
    <w:rsid w:val="131B209B"/>
    <w:rsid w:val="13890C34"/>
    <w:rsid w:val="144E55A7"/>
    <w:rsid w:val="14BA7805"/>
    <w:rsid w:val="16674354"/>
    <w:rsid w:val="16950047"/>
    <w:rsid w:val="184C61B5"/>
    <w:rsid w:val="18A12E8E"/>
    <w:rsid w:val="1B0C55E1"/>
    <w:rsid w:val="1B121C61"/>
    <w:rsid w:val="1B8D4D03"/>
    <w:rsid w:val="1B917B85"/>
    <w:rsid w:val="1B9B6ABA"/>
    <w:rsid w:val="1C5A0E97"/>
    <w:rsid w:val="1C633876"/>
    <w:rsid w:val="1CB32766"/>
    <w:rsid w:val="1F022080"/>
    <w:rsid w:val="1F4D1700"/>
    <w:rsid w:val="1F8B7D7A"/>
    <w:rsid w:val="1FA53B1A"/>
    <w:rsid w:val="205B068C"/>
    <w:rsid w:val="21016ED3"/>
    <w:rsid w:val="210D0437"/>
    <w:rsid w:val="21517F70"/>
    <w:rsid w:val="216E6B4D"/>
    <w:rsid w:val="217577AF"/>
    <w:rsid w:val="21C70CC8"/>
    <w:rsid w:val="22401A05"/>
    <w:rsid w:val="22847E42"/>
    <w:rsid w:val="24130147"/>
    <w:rsid w:val="24564FE2"/>
    <w:rsid w:val="252F00C9"/>
    <w:rsid w:val="25F731AD"/>
    <w:rsid w:val="26241121"/>
    <w:rsid w:val="26A36FC5"/>
    <w:rsid w:val="26D86D9D"/>
    <w:rsid w:val="278D18F5"/>
    <w:rsid w:val="278F25E8"/>
    <w:rsid w:val="27C52A22"/>
    <w:rsid w:val="283B0D09"/>
    <w:rsid w:val="28AE480B"/>
    <w:rsid w:val="28B643EE"/>
    <w:rsid w:val="290F2A57"/>
    <w:rsid w:val="29384107"/>
    <w:rsid w:val="29860A3F"/>
    <w:rsid w:val="2A55501F"/>
    <w:rsid w:val="2ACD303D"/>
    <w:rsid w:val="2B5D50A3"/>
    <w:rsid w:val="2C451480"/>
    <w:rsid w:val="2DEB5B9F"/>
    <w:rsid w:val="2EE13094"/>
    <w:rsid w:val="2F2B229D"/>
    <w:rsid w:val="30A94000"/>
    <w:rsid w:val="30D4357D"/>
    <w:rsid w:val="322F7AAD"/>
    <w:rsid w:val="337866CB"/>
    <w:rsid w:val="342E5633"/>
    <w:rsid w:val="357300C6"/>
    <w:rsid w:val="362C71DC"/>
    <w:rsid w:val="368D4A53"/>
    <w:rsid w:val="37741286"/>
    <w:rsid w:val="38442B85"/>
    <w:rsid w:val="385A4AB2"/>
    <w:rsid w:val="38CF3AE1"/>
    <w:rsid w:val="39AB58CB"/>
    <w:rsid w:val="3A242819"/>
    <w:rsid w:val="3AC608CB"/>
    <w:rsid w:val="3B9E7D5F"/>
    <w:rsid w:val="3BBB3FFC"/>
    <w:rsid w:val="3BE22D59"/>
    <w:rsid w:val="3C4A64C8"/>
    <w:rsid w:val="3D1E51E8"/>
    <w:rsid w:val="3D207B84"/>
    <w:rsid w:val="3D662E26"/>
    <w:rsid w:val="3EBF4EFB"/>
    <w:rsid w:val="3EF82323"/>
    <w:rsid w:val="40D80BB8"/>
    <w:rsid w:val="40D92CA7"/>
    <w:rsid w:val="413D1451"/>
    <w:rsid w:val="42A52C5E"/>
    <w:rsid w:val="4489454F"/>
    <w:rsid w:val="44E8380F"/>
    <w:rsid w:val="44FC1CFD"/>
    <w:rsid w:val="451C7A07"/>
    <w:rsid w:val="45E625F9"/>
    <w:rsid w:val="462C25D5"/>
    <w:rsid w:val="46F31DBC"/>
    <w:rsid w:val="478A2FD4"/>
    <w:rsid w:val="4A040AF9"/>
    <w:rsid w:val="4A3D6CDC"/>
    <w:rsid w:val="4A474B11"/>
    <w:rsid w:val="4A817CA5"/>
    <w:rsid w:val="4C133CFF"/>
    <w:rsid w:val="4CD55567"/>
    <w:rsid w:val="4DB85769"/>
    <w:rsid w:val="4E767696"/>
    <w:rsid w:val="4F8F6E42"/>
    <w:rsid w:val="50486EB2"/>
    <w:rsid w:val="504978B1"/>
    <w:rsid w:val="50F446D1"/>
    <w:rsid w:val="51A77C3C"/>
    <w:rsid w:val="51F24ECB"/>
    <w:rsid w:val="52721D12"/>
    <w:rsid w:val="53C433BC"/>
    <w:rsid w:val="54050D0D"/>
    <w:rsid w:val="54AF6381"/>
    <w:rsid w:val="54F02770"/>
    <w:rsid w:val="552A24C0"/>
    <w:rsid w:val="558E510B"/>
    <w:rsid w:val="57732CC8"/>
    <w:rsid w:val="57D23F41"/>
    <w:rsid w:val="58052B52"/>
    <w:rsid w:val="58A62B52"/>
    <w:rsid w:val="58BE376D"/>
    <w:rsid w:val="59680055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3DA6229"/>
    <w:rsid w:val="6413502E"/>
    <w:rsid w:val="64FA1DD3"/>
    <w:rsid w:val="6612133A"/>
    <w:rsid w:val="663634DC"/>
    <w:rsid w:val="663C1257"/>
    <w:rsid w:val="66557E57"/>
    <w:rsid w:val="675117C4"/>
    <w:rsid w:val="67EE12FA"/>
    <w:rsid w:val="68F6125C"/>
    <w:rsid w:val="69A27837"/>
    <w:rsid w:val="69F73940"/>
    <w:rsid w:val="6A35028E"/>
    <w:rsid w:val="6A4D59DC"/>
    <w:rsid w:val="6A666DEF"/>
    <w:rsid w:val="6A7E2167"/>
    <w:rsid w:val="6AF11F23"/>
    <w:rsid w:val="6BC3715D"/>
    <w:rsid w:val="6C665B72"/>
    <w:rsid w:val="6C7B045A"/>
    <w:rsid w:val="6CAF4B0F"/>
    <w:rsid w:val="6E77647E"/>
    <w:rsid w:val="6E847463"/>
    <w:rsid w:val="6E95000D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C26A9"/>
    <w:rsid w:val="72E6512C"/>
    <w:rsid w:val="73125CA2"/>
    <w:rsid w:val="731A42E7"/>
    <w:rsid w:val="736232A6"/>
    <w:rsid w:val="74024AB6"/>
    <w:rsid w:val="7450335A"/>
    <w:rsid w:val="74C14BCB"/>
    <w:rsid w:val="74D166F6"/>
    <w:rsid w:val="751506D8"/>
    <w:rsid w:val="75370FDC"/>
    <w:rsid w:val="75DC32CD"/>
    <w:rsid w:val="75E954AA"/>
    <w:rsid w:val="75FF34EF"/>
    <w:rsid w:val="764C516C"/>
    <w:rsid w:val="76CC1AB2"/>
    <w:rsid w:val="77433FC0"/>
    <w:rsid w:val="785E4287"/>
    <w:rsid w:val="78951B16"/>
    <w:rsid w:val="7A447DAB"/>
    <w:rsid w:val="7A687FB0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2710</Words>
  <Characters>15447</Characters>
  <Lines>128</Lines>
  <Paragraphs>36</Paragraphs>
  <TotalTime>0</TotalTime>
  <ScaleCrop>false</ScaleCrop>
  <LinksUpToDate>false</LinksUpToDate>
  <CharactersWithSpaces>18121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2021-05-21T02:52:15Z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8FBC15A8FBD5466180745D7E3815B2F3</vt:lpwstr>
  </property>
</Properties>
</file>