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  <w:r>
        <w:rPr>
          <w:rFonts w:hint="eastAsia" w:ascii="宋体" w:hAnsi="宋体" w:eastAsia="宋体" w:cs="宋体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E</w:t>
      </w:r>
      <w:r>
        <w:rPr>
          <w:rFonts w:hint="eastAsia"/>
          <w:b/>
          <w:sz w:val="22"/>
          <w:szCs w:val="22"/>
          <w:lang w:val="en-US" w:eastAsia="zh-CN"/>
        </w:rPr>
        <w:t>n</w:t>
      </w:r>
      <w:r>
        <w:rPr>
          <w:rFonts w:hint="eastAsia"/>
          <w:b/>
          <w:sz w:val="22"/>
          <w:szCs w:val="22"/>
        </w:rPr>
        <w:t>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浙江五饼二鱼实业有限公司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2.10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潘斯贴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2.10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66040</wp:posOffset>
                  </wp:positionH>
                  <wp:positionV relativeFrom="paragraph">
                    <wp:posOffset>-2537460</wp:posOffset>
                  </wp:positionV>
                  <wp:extent cx="5080000" cy="2327275"/>
                  <wp:effectExtent l="0" t="0" r="0" b="9525"/>
                  <wp:wrapSquare wrapText="bothSides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0" cy="232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工艺过程消耗的能源种类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电力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主要的耗能设备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成型机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多层冷压机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锯片磨刀机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曲直线封边机全自动封边机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烤箱、电焊机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国家限额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《中华人民共和国节约能源法》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2、部门规章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</w:pPr>
            <w:bookmarkStart w:id="5" w:name="_GoBack"/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《产业结构调整指导目录》（201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年修订）</w:t>
            </w:r>
          </w:p>
          <w:bookmarkEnd w:id="5"/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《高耗能落后电机设备（产品）淘汰目录》（第一批）（工节〔2009〕第67号）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《高耗能落后机电设备（产品）淘汰目录（第二批）》（国家工业和信息化部工节［2012］第14号）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《高耗能落后机电设备（产品）淘汰目录（第三批）》（国家工业和信息化部工节［2014］第16号）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相关行业的产业政策（如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  <w:lang w:val="en-US" w:eastAsia="zh-CN"/>
              </w:rPr>
              <w:t>运动器材</w:t>
            </w: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等，有门槛要求）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3、节能技术标准依据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《节能监测技术通则》（GB/T15316－2009）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《综合能耗计算通则》（GB/T2589－2008） 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《用能</w:t>
            </w:r>
            <w:r>
              <w:rPr>
                <w:rFonts w:hint="default" w:ascii="楷体" w:hAnsi="楷体" w:eastAsia="楷体" w:cs="Times New Roman"/>
                <w:color w:val="0000FF"/>
                <w:kern w:val="0"/>
                <w:sz w:val="24"/>
              </w:rPr>
              <w:t>单位节能量计算方法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》（GB/T13234－20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  <w:lang w:val="en-US" w:eastAsia="zh-CN"/>
              </w:rPr>
              <w:t>18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 xml:space="preserve">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 xml:space="preserve">《工业企业能源管理导则》（GB/T15587－2008）  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《用能单位能源计量器具配备和管理通则》（GB/17167-200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楷体" w:hAnsi="楷体" w:eastAsia="楷体" w:cs="Times New Roman"/>
                <w:color w:val="0000FF"/>
                <w:kern w:val="0"/>
                <w:sz w:val="24"/>
              </w:rPr>
              <w:t>）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Times New Roman"/>
                <w:color w:val="auto"/>
                <w:kern w:val="0"/>
                <w:sz w:val="24"/>
              </w:rPr>
              <w:t>《企业能量平衡通则》（GB/T3484-2009）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潘斯贴</w:t>
      </w:r>
      <w:r>
        <w:rPr>
          <w:rFonts w:hint="eastAsia" w:ascii="宋体"/>
          <w:b/>
          <w:sz w:val="22"/>
          <w:szCs w:val="22"/>
        </w:rPr>
        <w:t xml:space="preserve">      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 </w:t>
      </w:r>
      <w:r>
        <w:rPr>
          <w:rFonts w:hint="eastAsia" w:ascii="宋体"/>
          <w:b/>
          <w:sz w:val="22"/>
          <w:szCs w:val="22"/>
        </w:rPr>
        <w:t xml:space="preserve">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周涛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2021.5.13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4417448"/>
    <w:rsid w:val="37E62C4C"/>
    <w:rsid w:val="535F0D8E"/>
    <w:rsid w:val="56C36EFA"/>
    <w:rsid w:val="6E7C7C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rFonts w:eastAsia="华文细黑"/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2021-05-21T02:44:57Z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33310D5C97724A1CACFA03019B5FED72</vt:lpwstr>
  </property>
</Properties>
</file>