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4"/>
        <w:gridCol w:w="1239"/>
        <w:gridCol w:w="808"/>
        <w:gridCol w:w="2044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南昌市鼎鑫机电工程有限公司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Q：19.09.01;34.06.00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E：19.09.01;34.06.00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O：19.09.01;34.06.00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冷校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4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9.09.01;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E：19.09.01;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2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8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图纸分析--零部件采购--零部件检验--组装--检验--总装-成品出厂调试--包装-出厂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风险点：1产品总装过程中不牢固；措施：出厂时全检调试；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2、漏检；措施：制定各部门及人员职责与权限；建立质量考核奖惩办法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3、零部件质量问题导致产品质量问题；措施：加强零部件原材料入厂检验；对供方进行评价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生产及检验过程均受控，无需要确认的过程。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both"/>
              <w:rPr>
                <w:b/>
                <w:bCs/>
                <w:color w:val="auto"/>
                <w:sz w:val="21"/>
                <w:szCs w:val="21"/>
              </w:rPr>
            </w:pPr>
            <w:bookmarkStart w:id="5" w:name="_GoBack"/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重要环境因素</w:t>
            </w:r>
            <w:r>
              <w:rPr>
                <w:b/>
                <w:bCs/>
                <w:color w:val="auto"/>
                <w:sz w:val="21"/>
                <w:szCs w:val="21"/>
              </w:rPr>
              <w:t>1.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资源的消耗</w:t>
            </w:r>
            <w:r>
              <w:rPr>
                <w:b/>
                <w:bCs/>
                <w:color w:val="auto"/>
                <w:sz w:val="21"/>
                <w:szCs w:val="21"/>
              </w:rPr>
              <w:t xml:space="preserve">   2.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噪声排放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</w:rPr>
              <w:t>、</w:t>
            </w:r>
            <w:r>
              <w:rPr>
                <w:rFonts w:hint="eastAsia" w:ascii="新宋体" w:hAnsi="新宋体" w:eastAsia="新宋体"/>
                <w:b/>
                <w:bCs/>
                <w:color w:val="auto"/>
                <w:sz w:val="21"/>
                <w:szCs w:val="21"/>
              </w:rPr>
              <w:t>潜在火灾</w:t>
            </w:r>
            <w:r>
              <w:rPr>
                <w:rFonts w:ascii="新宋体" w:hAnsi="新宋体" w:eastAsia="新宋体"/>
                <w:b/>
                <w:bCs/>
                <w:color w:val="auto"/>
                <w:sz w:val="21"/>
                <w:szCs w:val="21"/>
              </w:rPr>
              <w:t xml:space="preserve">  4</w:t>
            </w:r>
            <w:r>
              <w:rPr>
                <w:rFonts w:hint="eastAsia" w:ascii="新宋体" w:hAnsi="新宋体" w:eastAsia="新宋体"/>
                <w:b/>
                <w:bCs/>
                <w:color w:val="auto"/>
                <w:sz w:val="21"/>
                <w:szCs w:val="21"/>
              </w:rPr>
              <w:t>、固体废物排放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制定了管理方案和应急方案进行控制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GB/T2820.2-2009《往复式内燃机驱动的交流发电机组第2部分发动机》、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GB/T12786-2006《自动化内燃机电站通用技术条件》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GB/T1147.1-2007《中小功率内燃机第1部分：通用技术条件》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GB/T2820.2-2009《往复式内燃机驱动的交流发电机组第2部分发动机》规定进行出厂性能检测。检测试验荐包括：外观检查、一、二次回路绝缘试验、冷态绝缘电阻测试、空、负载电压测试、功率、保护功能测试、控制箱指示信号装置工作情况检测、机组稳定性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drawing>
          <wp:inline distT="0" distB="0" distL="114300" distR="114300">
            <wp:extent cx="754380" cy="509270"/>
            <wp:effectExtent l="0" t="0" r="7620" b="11430"/>
            <wp:docPr id="2" name="图片 2" descr="签名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7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  <w:lang w:val="en-US" w:eastAsia="zh-CN"/>
        </w:rPr>
        <w:t>2021.5.12</w:t>
      </w:r>
      <w:r>
        <w:rPr>
          <w:rFonts w:hint="eastAsia" w:ascii="宋体"/>
          <w:b/>
          <w:sz w:val="22"/>
          <w:szCs w:val="22"/>
        </w:rPr>
        <w:t xml:space="preserve">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D409AB"/>
    <w:rsid w:val="1B9D3F64"/>
    <w:rsid w:val="20780B29"/>
    <w:rsid w:val="3F560D0A"/>
    <w:rsid w:val="5CA02337"/>
    <w:rsid w:val="656F3F91"/>
    <w:rsid w:val="70534A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2021-05-12T03:17:18Z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04A7FB06DC874DB99860479406C4B1EA</vt:lpwstr>
  </property>
</Properties>
</file>