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四川省德阳市广汉市新丰镇古城村9社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李香莹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13880242631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395490087@qq.com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周世强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0071-2018-QEO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Q：给水用聚丙稀（PP-R）、聚乙稀（PE）管材的生产和服务；排水、电力用聚氯乙烯（PVC）管材、管件的生产和服务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E：给水用聚丙稀（PP-R）、聚乙稀（PE）管材的生产、服务及相关管理活动；排水、电力用聚氯乙烯（PVC）管材、管件的生产、服务及相关管理活动。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O：给水用聚丙稀（PP-R）、聚乙稀（PE）管材的生产、服务及相关管理活动；排水、电力用聚氯乙烯（PVC）管材、管件的生产、服务及相关管理活动。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2021年05月12日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2021年05月12日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29210</wp:posOffset>
                  </wp:positionV>
                  <wp:extent cx="757555" cy="334645"/>
                  <wp:effectExtent l="0" t="0" r="4445" b="6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2021年5月10日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2021年5月10日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/权限；6.2目标及其实现的策划；7.1.3基础设施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7.1.4过程运行环境； 7.1.5监视和测量设备；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杨珍全、宋明珠、陈伟</w:t>
            </w:r>
            <w:bookmarkStart w:id="17" w:name="_GoBack"/>
            <w:bookmarkEnd w:id="17"/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CD7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2021-05-12T00:46:31Z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0E864C3B1C6D4B18A66E3E36E0D38447</vt:lpwstr>
  </property>
</Properties>
</file>