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江西华视技术服务有限公司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0244-2021-QEO</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何林欣</w:t>
            </w:r>
            <w:bookmarkEnd w:id="5"/>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6" w:name="联系人电话"/>
            <w:r>
              <w:rPr>
                <w:sz w:val="21"/>
                <w:szCs w:val="21"/>
              </w:rPr>
              <w:t>0795-7361888</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484568831@qq.com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pPr>
              <w:rPr>
                <w:rFonts w:hint="default" w:eastAsia="宋体"/>
                <w:lang w:val="en-US" w:eastAsia="zh-CN"/>
              </w:rPr>
            </w:pPr>
            <w:bookmarkStart w:id="8" w:name="最高管理者"/>
            <w:bookmarkEnd w:id="8"/>
            <w:r>
              <w:rPr>
                <w:rFonts w:hint="eastAsia"/>
                <w:sz w:val="21"/>
                <w:szCs w:val="21"/>
                <w:lang w:val="en-US" w:eastAsia="zh-CN"/>
              </w:rPr>
              <w:t>熊辉军</w:t>
            </w:r>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bookmarkStart w:id="9" w:name="联系人传真"/>
            <w:bookmarkEnd w:id="9"/>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bookmarkStart w:id="10" w:name="审核范围"/>
            <w:r>
              <w:t>Q：系统集成(智慧校园系统、智慧公安系统、智慧交通系统、智慧医疗系统、智慧法院系统、智慧文博系统、智慧政务及服务系统)、计算机网络技术及软件开发</w:t>
            </w:r>
          </w:p>
          <w:p>
            <w:r>
              <w:t>E：系统集成(智慧校园系统、智慧公安系统、智慧交通系统、智慧医疗系统、智慧法院系统、智慧文博系统、智慧政务及服务系统)、计算机网络技术及软件开发所涉及场所的相关环境管理活动</w:t>
            </w:r>
          </w:p>
          <w:p>
            <w:r>
              <w:t>O：系统集成(智慧校园系统、智慧公安系统、智慧交通系统、智慧医疗系统、智慧法院系统、智慧文博系统、智慧政务及服务系统)、计算机网络技术及软件开发所涉及场所的相关职业健康安全管理活动</w:t>
            </w:r>
            <w:bookmarkEnd w:id="10"/>
          </w:p>
        </w:tc>
        <w:tc>
          <w:tcPr>
            <w:tcW w:w="850" w:type="dxa"/>
            <w:gridSpan w:val="2"/>
            <w:vAlign w:val="center"/>
          </w:tcPr>
          <w:p>
            <w:r>
              <w:rPr>
                <w:rFonts w:hint="eastAsia"/>
              </w:rPr>
              <w:t>专业</w:t>
            </w:r>
          </w:p>
          <w:p>
            <w:r>
              <w:rPr>
                <w:rFonts w:hint="eastAsia"/>
              </w:rPr>
              <w:t>代码</w:t>
            </w:r>
          </w:p>
        </w:tc>
        <w:tc>
          <w:tcPr>
            <w:tcW w:w="1654" w:type="dxa"/>
            <w:gridSpan w:val="2"/>
            <w:vAlign w:val="center"/>
          </w:tcPr>
          <w:p>
            <w:bookmarkStart w:id="11" w:name="专业代码"/>
            <w:r>
              <w:t>Q：33.02.01;33.02.02</w:t>
            </w:r>
          </w:p>
          <w:p>
            <w:r>
              <w:t>E：33.02.01;33.02.02</w:t>
            </w:r>
          </w:p>
          <w:p>
            <w:r>
              <w:t>O：33.02.01;33.02.02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Q：GB/T19001-2016/ISO9001:2015,E：GB/T 24001-2016/ISO14001:2015,O：GB/T45001-2020 / ISO45001：2018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2021年05月10日 上午至2021年05月11日 下午 (共2.0天)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褚敏杰</w:t>
            </w:r>
            <w:r>
              <w:rPr>
                <w:rFonts w:hint="eastAsia"/>
                <w:sz w:val="21"/>
                <w:szCs w:val="21"/>
                <w:lang w:val="en-US" w:eastAsia="zh-CN"/>
              </w:rPr>
              <w:t>A</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402" w:type="dxa"/>
            <w:gridSpan w:val="4"/>
            <w:vAlign w:val="center"/>
          </w:tcPr>
          <w:p>
            <w:pPr>
              <w:jc w:val="center"/>
              <w:rPr>
                <w:sz w:val="21"/>
                <w:szCs w:val="21"/>
              </w:rPr>
            </w:pPr>
            <w:r>
              <w:rPr>
                <w:sz w:val="21"/>
                <w:szCs w:val="21"/>
              </w:rPr>
              <w:t>E:33.02.01,33.02.02</w:t>
            </w:r>
          </w:p>
          <w:p>
            <w:pPr>
              <w:jc w:val="center"/>
              <w:rPr>
                <w:sz w:val="21"/>
                <w:szCs w:val="21"/>
              </w:rPr>
            </w:pPr>
            <w:r>
              <w:rPr>
                <w:sz w:val="21"/>
                <w:szCs w:val="21"/>
              </w:rPr>
              <w:t>O:33.02.01,33.02.02</w:t>
            </w:r>
          </w:p>
        </w:tc>
        <w:tc>
          <w:tcPr>
            <w:tcW w:w="1559" w:type="dxa"/>
            <w:gridSpan w:val="4"/>
            <w:vAlign w:val="center"/>
          </w:tcPr>
          <w:p>
            <w:pPr>
              <w:jc w:val="center"/>
              <w:rPr>
                <w:sz w:val="21"/>
                <w:szCs w:val="21"/>
              </w:rPr>
            </w:pPr>
            <w:r>
              <w:rPr>
                <w:sz w:val="21"/>
                <w:szCs w:val="21"/>
              </w:rPr>
              <w:t>15170020221</w:t>
            </w:r>
          </w:p>
        </w:tc>
        <w:tc>
          <w:tcPr>
            <w:tcW w:w="1229" w:type="dxa"/>
            <w:vAlign w:val="center"/>
          </w:tcPr>
          <w:p>
            <w:pPr>
              <w:jc w:val="center"/>
              <w:rPr>
                <w:sz w:val="21"/>
                <w:szCs w:val="21"/>
              </w:rPr>
            </w:pPr>
            <w:r>
              <w:rPr>
                <w:sz w:val="21"/>
                <w:szCs w:val="21"/>
              </w:rPr>
              <w:t>ISC-68076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劳世中</w:t>
            </w:r>
            <w:r>
              <w:rPr>
                <w:rFonts w:hint="eastAsia"/>
                <w:sz w:val="21"/>
                <w:szCs w:val="21"/>
                <w:lang w:val="en-US" w:eastAsia="zh-CN"/>
              </w:rPr>
              <w:t>B</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Q:专家</w:t>
            </w:r>
          </w:p>
          <w:p>
            <w:pPr>
              <w:jc w:val="center"/>
              <w:rPr>
                <w:sz w:val="21"/>
                <w:szCs w:val="21"/>
              </w:rPr>
            </w:pPr>
            <w:r>
              <w:rPr>
                <w:sz w:val="21"/>
                <w:szCs w:val="21"/>
              </w:rPr>
              <w:t>E:专家</w:t>
            </w:r>
          </w:p>
          <w:p>
            <w:pPr>
              <w:jc w:val="center"/>
              <w:rPr>
                <w:sz w:val="21"/>
                <w:szCs w:val="21"/>
              </w:rPr>
            </w:pPr>
            <w:r>
              <w:rPr>
                <w:sz w:val="21"/>
                <w:szCs w:val="21"/>
              </w:rPr>
              <w:t>O:专家</w:t>
            </w:r>
          </w:p>
        </w:tc>
        <w:tc>
          <w:tcPr>
            <w:tcW w:w="3402" w:type="dxa"/>
            <w:gridSpan w:val="4"/>
            <w:vAlign w:val="center"/>
          </w:tcPr>
          <w:p>
            <w:pPr>
              <w:jc w:val="center"/>
              <w:rPr>
                <w:sz w:val="21"/>
                <w:szCs w:val="21"/>
              </w:rPr>
            </w:pPr>
            <w:r>
              <w:rPr>
                <w:sz w:val="21"/>
                <w:szCs w:val="21"/>
              </w:rPr>
              <w:t>Q:33.02.01,33.02.02</w:t>
            </w:r>
          </w:p>
          <w:p>
            <w:pPr>
              <w:jc w:val="center"/>
              <w:rPr>
                <w:sz w:val="21"/>
                <w:szCs w:val="21"/>
              </w:rPr>
            </w:pPr>
            <w:r>
              <w:rPr>
                <w:sz w:val="21"/>
                <w:szCs w:val="21"/>
              </w:rPr>
              <w:t>E:33.02.01,33.02.02</w:t>
            </w:r>
          </w:p>
          <w:p>
            <w:pPr>
              <w:jc w:val="center"/>
              <w:rPr>
                <w:sz w:val="21"/>
                <w:szCs w:val="21"/>
              </w:rPr>
            </w:pPr>
            <w:r>
              <w:rPr>
                <w:sz w:val="21"/>
                <w:szCs w:val="21"/>
              </w:rPr>
              <w:t>O:33.02.01,33.02.02</w:t>
            </w:r>
          </w:p>
        </w:tc>
        <w:tc>
          <w:tcPr>
            <w:tcW w:w="1559" w:type="dxa"/>
            <w:gridSpan w:val="4"/>
            <w:vAlign w:val="center"/>
          </w:tcPr>
          <w:p>
            <w:pPr>
              <w:jc w:val="center"/>
              <w:rPr>
                <w:sz w:val="21"/>
                <w:szCs w:val="21"/>
              </w:rPr>
            </w:pPr>
            <w:r>
              <w:rPr>
                <w:sz w:val="21"/>
                <w:szCs w:val="21"/>
              </w:rPr>
              <w:t>13929545507</w:t>
            </w:r>
          </w:p>
        </w:tc>
        <w:tc>
          <w:tcPr>
            <w:tcW w:w="1229" w:type="dxa"/>
            <w:vAlign w:val="center"/>
          </w:tcPr>
          <w:p>
            <w:pPr>
              <w:jc w:val="center"/>
              <w:rPr>
                <w:sz w:val="21"/>
                <w:szCs w:val="21"/>
              </w:rPr>
            </w:pPr>
            <w:r>
              <w:rPr>
                <w:sz w:val="21"/>
                <w:szCs w:val="21"/>
              </w:rPr>
              <w:t>ISC-JSZJ-294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780" w:type="dxa"/>
            <w:gridSpan w:val="2"/>
            <w:vAlign w:val="center"/>
          </w:tcPr>
          <w:p/>
        </w:tc>
        <w:tc>
          <w:tcPr>
            <w:tcW w:w="720" w:type="dxa"/>
            <w:vAlign w:val="center"/>
          </w:tcPr>
          <w:p/>
        </w:tc>
        <w:tc>
          <w:tcPr>
            <w:tcW w:w="1141" w:type="dxa"/>
            <w:gridSpan w:val="2"/>
            <w:vAlign w:val="center"/>
          </w:tcPr>
          <w:p/>
        </w:tc>
        <w:tc>
          <w:tcPr>
            <w:tcW w:w="3402" w:type="dxa"/>
            <w:gridSpan w:val="4"/>
            <w:vAlign w:val="center"/>
          </w:tcPr>
          <w:p/>
        </w:tc>
        <w:tc>
          <w:tcPr>
            <w:tcW w:w="1559" w:type="dxa"/>
            <w:gridSpan w:val="4"/>
            <w:vAlign w:val="center"/>
          </w:tcPr>
          <w:p/>
        </w:tc>
        <w:tc>
          <w:tcPr>
            <w:tcW w:w="122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eastAsia="宋体"/>
                <w:lang w:eastAsia="zh-CN"/>
              </w:rPr>
              <w:drawing>
                <wp:anchor distT="0" distB="0" distL="114300" distR="114300" simplePos="0" relativeHeight="251658240" behindDoc="0" locked="0" layoutInCell="1" allowOverlap="1">
                  <wp:simplePos x="0" y="0"/>
                  <wp:positionH relativeFrom="column">
                    <wp:posOffset>-635000</wp:posOffset>
                  </wp:positionH>
                  <wp:positionV relativeFrom="paragraph">
                    <wp:posOffset>-1191260</wp:posOffset>
                  </wp:positionV>
                  <wp:extent cx="7592695" cy="10779760"/>
                  <wp:effectExtent l="0" t="0" r="8255" b="2540"/>
                  <wp:wrapNone/>
                  <wp:docPr id="2" name="图片 2" descr="一阶段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一阶段 007"/>
                          <pic:cNvPicPr>
                            <a:picLocks noChangeAspect="1"/>
                          </pic:cNvPicPr>
                        </pic:nvPicPr>
                        <pic:blipFill>
                          <a:blip r:embed="rId6"/>
                          <a:stretch>
                            <a:fillRect/>
                          </a:stretch>
                        </pic:blipFill>
                        <pic:spPr>
                          <a:xfrm>
                            <a:off x="0" y="0"/>
                            <a:ext cx="7592695" cy="10779760"/>
                          </a:xfrm>
                          <a:prstGeom prst="rect">
                            <a:avLst/>
                          </a:prstGeom>
                        </pic:spPr>
                      </pic:pic>
                    </a:graphicData>
                  </a:graphic>
                </wp:anchor>
              </w:drawing>
            </w:r>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eastAsia" w:eastAsia="宋体"/>
                <w:sz w:val="21"/>
                <w:szCs w:val="21"/>
                <w:lang w:val="en-US" w:eastAsia="zh-CN"/>
              </w:rPr>
            </w:pPr>
            <w:r>
              <w:rPr>
                <w:rFonts w:hint="eastAsia"/>
                <w:sz w:val="21"/>
                <w:szCs w:val="21"/>
                <w:lang w:val="en-US" w:eastAsia="zh-CN"/>
              </w:rPr>
              <w:t>褚敏杰</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rFonts w:hint="eastAsia" w:eastAsia="宋体"/>
                <w:sz w:val="21"/>
                <w:szCs w:val="21"/>
                <w:lang w:val="en-US" w:eastAsia="zh-CN"/>
              </w:rPr>
            </w:pPr>
            <w:r>
              <w:rPr>
                <w:rFonts w:hint="eastAsia"/>
                <w:sz w:val="21"/>
                <w:szCs w:val="21"/>
                <w:lang w:val="en-US" w:eastAsia="zh-CN"/>
              </w:rPr>
              <w:t>李永忠</w:t>
            </w: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15170020221</w:t>
            </w: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2021.5.9</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2021.5.9</w:t>
            </w: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rPr>
                <w:rFonts w:hint="default" w:eastAsia="宋体"/>
                <w:lang w:val="en-US" w:eastAsia="zh-CN"/>
              </w:rPr>
            </w:pPr>
            <w:r>
              <w:rPr>
                <w:rFonts w:hint="eastAsia"/>
                <w:lang w:val="en-US" w:eastAsia="zh-CN"/>
              </w:rPr>
              <w:t>2021.5.10</w:t>
            </w:r>
          </w:p>
        </w:tc>
      </w:tr>
    </w:tbl>
    <w:p>
      <w:pPr>
        <w:widowControl/>
        <w:jc w:val="left"/>
        <w:rPr>
          <w:rFonts w:hint="eastAsia" w:eastAsia="宋体"/>
          <w:lang w:eastAsia="zh-CN"/>
        </w:rPr>
      </w:pPr>
    </w:p>
    <w:p>
      <w:pPr>
        <w:rPr>
          <w:rFonts w:asciiTheme="minorEastAsia" w:hAnsiTheme="minorEastAsia" w:eastAsiaTheme="minorEastAsia"/>
          <w:sz w:val="32"/>
          <w:szCs w:val="32"/>
        </w:rPr>
      </w:pPr>
      <w:r>
        <w:rPr>
          <w:rFonts w:asciiTheme="minorEastAsia" w:hAnsiTheme="minorEastAsia" w:eastAsiaTheme="minorEastAsia"/>
          <w:sz w:val="32"/>
          <w:szCs w:val="32"/>
        </w:rPr>
        <w:br w:type="page"/>
      </w:r>
    </w:p>
    <w:p>
      <w:pPr>
        <w:pStyle w:val="2"/>
      </w:pPr>
      <w:bookmarkStart w:id="14" w:name="_GoBack"/>
      <w:bookmarkEnd w:id="14"/>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50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5.10</w:t>
            </w:r>
          </w:p>
        </w:tc>
        <w:tc>
          <w:tcPr>
            <w:tcW w:w="1505" w:type="dxa"/>
            <w:vAlign w:val="center"/>
          </w:tcPr>
          <w:p>
            <w:pPr>
              <w:snapToGrid w:val="0"/>
              <w:spacing w:line="280" w:lineRule="exact"/>
              <w:jc w:val="left"/>
              <w:rPr>
                <w:rFonts w:hint="default" w:ascii="Times New Roman" w:hAnsi="Times New Roman" w:eastAsia="宋体" w:cs="Times New Roman"/>
                <w:kern w:val="2"/>
                <w:sz w:val="24"/>
                <w:lang w:val="en-US" w:eastAsia="zh-CN" w:bidi="ar-SA"/>
              </w:rPr>
            </w:pPr>
            <w:r>
              <w:rPr>
                <w:rFonts w:hint="eastAsia" w:ascii="Times New Roman" w:hAnsi="Times New Roman" w:eastAsia="宋体" w:cs="Times New Roman"/>
                <w:b/>
                <w:kern w:val="2"/>
                <w:sz w:val="20"/>
                <w:szCs w:val="22"/>
                <w:lang w:val="en-US" w:eastAsia="zh-CN" w:bidi="ar-SA"/>
              </w:rPr>
              <w:t>0</w:t>
            </w:r>
            <w:r>
              <w:rPr>
                <w:rFonts w:hint="eastAsia" w:cs="Times New Roman"/>
                <w:b/>
                <w:kern w:val="2"/>
                <w:sz w:val="20"/>
                <w:szCs w:val="22"/>
                <w:lang w:val="en-US" w:eastAsia="zh-CN" w:bidi="ar-SA"/>
              </w:rPr>
              <w:t>8</w:t>
            </w:r>
            <w:r>
              <w:rPr>
                <w:rFonts w:hint="eastAsia" w:ascii="Times New Roman" w:hAnsi="Times New Roman" w:eastAsia="宋体" w:cs="Times New Roman"/>
                <w:b/>
                <w:kern w:val="2"/>
                <w:sz w:val="20"/>
                <w:szCs w:val="22"/>
                <w:lang w:val="en-US" w:eastAsia="zh-CN" w:bidi="ar-SA"/>
              </w:rPr>
              <w:t>：</w:t>
            </w:r>
            <w:r>
              <w:rPr>
                <w:rFonts w:hint="eastAsia" w:cs="Times New Roman"/>
                <w:b/>
                <w:kern w:val="2"/>
                <w:sz w:val="20"/>
                <w:szCs w:val="22"/>
                <w:lang w:val="en-US" w:eastAsia="zh-CN" w:bidi="ar-SA"/>
              </w:rPr>
              <w:t>3</w:t>
            </w:r>
            <w:r>
              <w:rPr>
                <w:rFonts w:hint="eastAsia" w:ascii="Times New Roman" w:hAnsi="Times New Roman" w:eastAsia="宋体" w:cs="Times New Roman"/>
                <w:b/>
                <w:kern w:val="2"/>
                <w:sz w:val="20"/>
                <w:szCs w:val="22"/>
                <w:lang w:val="en-US" w:eastAsia="zh-CN" w:bidi="ar-SA"/>
              </w:rPr>
              <w:t>0-09：</w:t>
            </w:r>
            <w:r>
              <w:rPr>
                <w:rFonts w:hint="eastAsia" w:cs="Times New Roman"/>
                <w:b/>
                <w:kern w:val="2"/>
                <w:sz w:val="20"/>
                <w:szCs w:val="22"/>
                <w:lang w:val="en-US" w:eastAsia="zh-CN" w:bidi="ar-SA"/>
              </w:rPr>
              <w:t>0</w:t>
            </w:r>
            <w:r>
              <w:rPr>
                <w:rFonts w:hint="eastAsia" w:ascii="Times New Roman" w:hAnsi="Times New Roman" w:eastAsia="宋体" w:cs="Times New Roman"/>
                <w:b/>
                <w:kern w:val="2"/>
                <w:sz w:val="20"/>
                <w:szCs w:val="22"/>
                <w:lang w:val="en-US" w:eastAsia="zh-CN" w:bidi="ar-SA"/>
              </w:rPr>
              <w:t>0</w:t>
            </w:r>
          </w:p>
        </w:tc>
        <w:tc>
          <w:tcPr>
            <w:tcW w:w="6665" w:type="dxa"/>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rPr>
              <w:t>首次会议/管理层、各部门负责人</w:t>
            </w:r>
          </w:p>
        </w:tc>
        <w:tc>
          <w:tcPr>
            <w:tcW w:w="1196" w:type="dxa"/>
            <w:tcBorders>
              <w:righ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5.10-11</w:t>
            </w:r>
          </w:p>
        </w:tc>
        <w:tc>
          <w:tcPr>
            <w:tcW w:w="1505" w:type="dxa"/>
            <w:vAlign w:val="center"/>
          </w:tcPr>
          <w:p>
            <w:pPr>
              <w:snapToGrid w:val="0"/>
              <w:spacing w:line="280" w:lineRule="exact"/>
              <w:jc w:val="center"/>
              <w:rPr>
                <w:rFonts w:hint="eastAsia" w:ascii="Times New Roman" w:hAnsi="Times New Roman" w:eastAsia="宋体" w:cs="Times New Roman"/>
                <w:b/>
                <w:kern w:val="2"/>
                <w:sz w:val="20"/>
                <w:szCs w:val="22"/>
                <w:lang w:val="en-US" w:eastAsia="zh-CN" w:bidi="ar-SA"/>
              </w:rPr>
            </w:pPr>
            <w:r>
              <w:rPr>
                <w:rFonts w:hint="eastAsia" w:ascii="Times New Roman" w:hAnsi="Times New Roman" w:eastAsia="宋体" w:cs="Times New Roman"/>
                <w:b/>
                <w:kern w:val="2"/>
                <w:sz w:val="20"/>
                <w:szCs w:val="22"/>
                <w:lang w:val="en-US" w:eastAsia="zh-CN" w:bidi="ar-SA"/>
              </w:rPr>
              <w:t>09：</w:t>
            </w:r>
            <w:r>
              <w:rPr>
                <w:rFonts w:hint="eastAsia" w:cs="Times New Roman"/>
                <w:b/>
                <w:kern w:val="2"/>
                <w:sz w:val="20"/>
                <w:szCs w:val="22"/>
                <w:lang w:val="en-US" w:eastAsia="zh-CN" w:bidi="ar-SA"/>
              </w:rPr>
              <w:t>0</w:t>
            </w:r>
            <w:r>
              <w:rPr>
                <w:rFonts w:hint="eastAsia" w:ascii="Times New Roman" w:hAnsi="Times New Roman" w:eastAsia="宋体" w:cs="Times New Roman"/>
                <w:b/>
                <w:kern w:val="2"/>
                <w:sz w:val="20"/>
                <w:szCs w:val="22"/>
                <w:lang w:val="en-US" w:eastAsia="zh-CN" w:bidi="ar-SA"/>
              </w:rPr>
              <w:t>0-1</w:t>
            </w:r>
            <w:r>
              <w:rPr>
                <w:rFonts w:hint="eastAsia" w:cs="Times New Roman"/>
                <w:b/>
                <w:kern w:val="2"/>
                <w:sz w:val="20"/>
                <w:szCs w:val="22"/>
                <w:lang w:val="en-US" w:eastAsia="zh-CN" w:bidi="ar-SA"/>
              </w:rPr>
              <w:t>6</w:t>
            </w:r>
            <w:r>
              <w:rPr>
                <w:rFonts w:hint="eastAsia" w:ascii="Times New Roman" w:hAnsi="Times New Roman" w:eastAsia="宋体" w:cs="Times New Roman"/>
                <w:b/>
                <w:kern w:val="2"/>
                <w:sz w:val="20"/>
                <w:szCs w:val="22"/>
                <w:lang w:val="en-US" w:eastAsia="zh-CN" w:bidi="ar-SA"/>
              </w:rPr>
              <w:t>：</w:t>
            </w:r>
            <w:r>
              <w:rPr>
                <w:rFonts w:hint="eastAsia" w:cs="Times New Roman"/>
                <w:b/>
                <w:kern w:val="2"/>
                <w:sz w:val="20"/>
                <w:szCs w:val="22"/>
                <w:lang w:val="en-US" w:eastAsia="zh-CN" w:bidi="ar-SA"/>
              </w:rPr>
              <w:t>3</w:t>
            </w:r>
            <w:r>
              <w:rPr>
                <w:rFonts w:hint="eastAsia" w:ascii="Times New Roman" w:hAnsi="Times New Roman" w:eastAsia="宋体" w:cs="Times New Roman"/>
                <w:b/>
                <w:kern w:val="2"/>
                <w:sz w:val="20"/>
                <w:szCs w:val="22"/>
                <w:lang w:val="en-US" w:eastAsia="zh-CN" w:bidi="ar-SA"/>
              </w:rPr>
              <w:t>0</w:t>
            </w:r>
          </w:p>
          <w:p>
            <w:pPr>
              <w:snapToGrid w:val="0"/>
              <w:spacing w:line="280" w:lineRule="exact"/>
              <w:jc w:val="center"/>
              <w:rPr>
                <w:rFonts w:hint="eastAsia" w:ascii="Times New Roman" w:hAnsi="Times New Roman" w:eastAsia="宋体" w:cs="Times New Roman"/>
                <w:b/>
                <w:kern w:val="2"/>
                <w:sz w:val="20"/>
                <w:szCs w:val="22"/>
                <w:lang w:val="en-US" w:eastAsia="zh-CN" w:bidi="ar-SA"/>
              </w:rPr>
            </w:pPr>
            <w:r>
              <w:rPr>
                <w:rFonts w:hint="eastAsia" w:ascii="Times New Roman" w:hAnsi="Times New Roman" w:eastAsia="宋体" w:cs="Times New Roman"/>
                <w:b/>
                <w:kern w:val="2"/>
                <w:sz w:val="20"/>
                <w:szCs w:val="22"/>
                <w:lang w:val="en-US" w:eastAsia="zh-CN" w:bidi="ar-SA"/>
              </w:rPr>
              <w:t>12：00-12：30</w:t>
            </w:r>
          </w:p>
          <w:p>
            <w:pPr>
              <w:snapToGrid w:val="0"/>
              <w:spacing w:line="280" w:lineRule="exact"/>
              <w:jc w:val="center"/>
              <w:rPr>
                <w:rFonts w:hint="default" w:ascii="Times New Roman" w:hAnsi="Times New Roman" w:eastAsia="宋体" w:cs="Times New Roman"/>
                <w:kern w:val="2"/>
                <w:sz w:val="24"/>
                <w:lang w:val="en-US" w:eastAsia="zh-CN" w:bidi="ar-SA"/>
              </w:rPr>
            </w:pPr>
            <w:r>
              <w:rPr>
                <w:rFonts w:hint="eastAsia" w:ascii="Times New Roman" w:hAnsi="Times New Roman" w:eastAsia="宋体" w:cs="Times New Roman"/>
                <w:b/>
                <w:kern w:val="2"/>
                <w:sz w:val="20"/>
                <w:szCs w:val="22"/>
                <w:lang w:val="en-US" w:eastAsia="zh-CN" w:bidi="ar-SA"/>
              </w:rPr>
              <w:t>午餐</w:t>
            </w:r>
          </w:p>
        </w:tc>
        <w:tc>
          <w:tcPr>
            <w:tcW w:w="6665"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审核高层、</w:t>
            </w:r>
            <w:r>
              <w:rPr>
                <w:rFonts w:hint="eastAsia" w:ascii="宋体" w:hAnsi="宋体" w:cs="宋体"/>
                <w:sz w:val="21"/>
                <w:szCs w:val="21"/>
                <w:lang w:val="en-US" w:eastAsia="zh-CN"/>
              </w:rPr>
              <w:t>行政部</w:t>
            </w:r>
            <w:r>
              <w:rPr>
                <w:rFonts w:hint="eastAsia" w:ascii="宋体" w:hAnsi="宋体" w:eastAsia="宋体" w:cs="宋体"/>
                <w:sz w:val="21"/>
                <w:szCs w:val="21"/>
                <w:lang w:eastAsia="zh-CN"/>
              </w:rPr>
              <w:t>、</w:t>
            </w:r>
            <w:r>
              <w:rPr>
                <w:rFonts w:hint="eastAsia" w:ascii="宋体" w:hAnsi="宋体" w:eastAsia="宋体" w:cs="宋体"/>
                <w:sz w:val="21"/>
                <w:szCs w:val="21"/>
              </w:rPr>
              <w:t>生产部</w:t>
            </w:r>
            <w:r>
              <w:rPr>
                <w:rFonts w:hint="eastAsia" w:ascii="宋体" w:hAnsi="宋体" w:eastAsia="宋体" w:cs="宋体"/>
                <w:sz w:val="21"/>
                <w:szCs w:val="21"/>
                <w:lang w:eastAsia="zh-CN"/>
              </w:rPr>
              <w:t>、</w:t>
            </w:r>
            <w:r>
              <w:rPr>
                <w:rFonts w:hint="eastAsia" w:ascii="宋体" w:hAnsi="宋体" w:eastAsia="宋体" w:cs="宋体"/>
                <w:sz w:val="21"/>
                <w:szCs w:val="21"/>
              </w:rPr>
              <w:t>供销部</w:t>
            </w:r>
            <w:r>
              <w:rPr>
                <w:rFonts w:hint="eastAsia" w:ascii="宋体" w:hAnsi="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了解受审核方基本概况，资质及部门设置、主管部门；</w:t>
            </w:r>
          </w:p>
          <w:p>
            <w:pPr>
              <w:rPr>
                <w:rFonts w:hint="eastAsia" w:ascii="宋体" w:hAnsi="宋体" w:eastAsia="宋体" w:cs="宋体"/>
                <w:sz w:val="21"/>
                <w:szCs w:val="21"/>
              </w:rPr>
            </w:pPr>
            <w:r>
              <w:rPr>
                <w:rFonts w:hint="eastAsia" w:ascii="宋体" w:hAnsi="宋体" w:eastAsia="宋体" w:cs="宋体"/>
                <w:sz w:val="21"/>
                <w:szCs w:val="21"/>
              </w:rPr>
              <w:t>确定认证范围和经营场所；</w:t>
            </w:r>
          </w:p>
          <w:p>
            <w:pPr>
              <w:rPr>
                <w:rFonts w:hint="eastAsia" w:ascii="宋体" w:hAnsi="宋体" w:eastAsia="宋体" w:cs="宋体"/>
                <w:sz w:val="21"/>
                <w:szCs w:val="21"/>
              </w:rPr>
            </w:pPr>
            <w:r>
              <w:rPr>
                <w:rFonts w:hint="eastAsia" w:ascii="宋体" w:hAnsi="宋体" w:eastAsia="宋体" w:cs="宋体"/>
                <w:sz w:val="21"/>
                <w:szCs w:val="21"/>
              </w:rPr>
              <w:t>理解相关方的需求和期望；</w:t>
            </w:r>
          </w:p>
          <w:p>
            <w:pPr>
              <w:rPr>
                <w:rFonts w:hint="eastAsia" w:ascii="宋体" w:hAnsi="宋体" w:eastAsia="宋体" w:cs="宋体"/>
                <w:sz w:val="21"/>
                <w:szCs w:val="21"/>
              </w:rPr>
            </w:pPr>
            <w:r>
              <w:rPr>
                <w:rFonts w:hint="eastAsia" w:ascii="宋体" w:hAnsi="宋体" w:eastAsia="宋体" w:cs="宋体"/>
                <w:sz w:val="21"/>
                <w:szCs w:val="21"/>
              </w:rPr>
              <w:t>了解公司方针和目标及措施策划；</w:t>
            </w:r>
          </w:p>
          <w:p>
            <w:pPr>
              <w:rPr>
                <w:rFonts w:hint="eastAsia" w:ascii="宋体" w:hAnsi="宋体" w:eastAsia="宋体" w:cs="宋体"/>
                <w:sz w:val="21"/>
                <w:szCs w:val="21"/>
              </w:rPr>
            </w:pPr>
            <w:r>
              <w:rPr>
                <w:rFonts w:hint="eastAsia" w:ascii="宋体" w:hAnsi="宋体" w:eastAsia="宋体" w:cs="宋体"/>
                <w:sz w:val="21"/>
                <w:szCs w:val="21"/>
              </w:rPr>
              <w:t>了解受审核方管理体系策划情况；</w:t>
            </w:r>
          </w:p>
          <w:p>
            <w:pPr>
              <w:rPr>
                <w:rFonts w:hint="eastAsia" w:ascii="宋体" w:hAnsi="宋体" w:eastAsia="宋体" w:cs="宋体"/>
                <w:sz w:val="21"/>
                <w:szCs w:val="21"/>
              </w:rPr>
            </w:pPr>
            <w:r>
              <w:rPr>
                <w:rFonts w:hint="eastAsia" w:ascii="宋体" w:hAnsi="宋体" w:eastAsia="宋体" w:cs="宋体"/>
                <w:sz w:val="21"/>
                <w:szCs w:val="21"/>
              </w:rPr>
              <w:t>了解受审核方理解和实施标准要求的情况，特别是对管理体系的关键绩效、过程、和运作的识别情况；</w:t>
            </w:r>
          </w:p>
          <w:p>
            <w:pPr>
              <w:rPr>
                <w:rFonts w:hint="eastAsia" w:ascii="宋体" w:hAnsi="宋体" w:eastAsia="宋体" w:cs="宋体"/>
                <w:sz w:val="21"/>
                <w:szCs w:val="21"/>
              </w:rPr>
            </w:pPr>
            <w:r>
              <w:rPr>
                <w:rFonts w:hint="eastAsia" w:ascii="宋体" w:hAnsi="宋体" w:eastAsia="宋体" w:cs="宋体"/>
                <w:sz w:val="21"/>
                <w:szCs w:val="21"/>
              </w:rPr>
              <w:t>了解受审核方产品实现过程的策划和实施控制情况；</w:t>
            </w:r>
          </w:p>
          <w:p>
            <w:pPr>
              <w:rPr>
                <w:rFonts w:hint="eastAsia" w:ascii="宋体" w:hAnsi="宋体" w:eastAsia="宋体" w:cs="宋体"/>
                <w:sz w:val="21"/>
                <w:szCs w:val="21"/>
              </w:rPr>
            </w:pPr>
            <w:r>
              <w:rPr>
                <w:rFonts w:hint="eastAsia" w:ascii="宋体" w:hAnsi="宋体" w:eastAsia="宋体" w:cs="宋体"/>
                <w:sz w:val="21"/>
                <w:szCs w:val="21"/>
              </w:rPr>
              <w:t>了解受审核方生产提供控制情况；</w:t>
            </w:r>
          </w:p>
          <w:p>
            <w:pPr>
              <w:rPr>
                <w:rFonts w:hint="eastAsia" w:ascii="宋体" w:hAnsi="宋体" w:eastAsia="宋体" w:cs="宋体"/>
                <w:sz w:val="21"/>
                <w:szCs w:val="21"/>
              </w:rPr>
            </w:pPr>
            <w:r>
              <w:rPr>
                <w:rFonts w:hint="eastAsia" w:ascii="宋体" w:hAnsi="宋体" w:eastAsia="宋体" w:cs="宋体"/>
                <w:sz w:val="21"/>
                <w:szCs w:val="21"/>
              </w:rPr>
              <w:t>环境、职业健康安全管理体系运行情况；</w:t>
            </w:r>
          </w:p>
          <w:p>
            <w:pPr>
              <w:rPr>
                <w:rFonts w:hint="eastAsia" w:ascii="宋体" w:hAnsi="宋体" w:eastAsia="宋体" w:cs="宋体"/>
                <w:sz w:val="21"/>
                <w:szCs w:val="21"/>
              </w:rPr>
            </w:pPr>
            <w:r>
              <w:rPr>
                <w:rFonts w:hint="eastAsia" w:ascii="宋体" w:hAnsi="宋体" w:eastAsia="宋体" w:cs="宋体"/>
                <w:sz w:val="21"/>
                <w:szCs w:val="21"/>
              </w:rPr>
              <w:t>了解受审核方环境因素和危险源识别、重要环境因素和重大危险源控制措施策划；</w:t>
            </w:r>
          </w:p>
          <w:p>
            <w:pPr>
              <w:rPr>
                <w:rFonts w:hint="eastAsia" w:ascii="宋体" w:hAnsi="宋体" w:eastAsia="宋体" w:cs="宋体"/>
                <w:sz w:val="21"/>
                <w:szCs w:val="21"/>
              </w:rPr>
            </w:pPr>
            <w:r>
              <w:rPr>
                <w:rFonts w:hint="eastAsia" w:ascii="宋体" w:hAnsi="宋体" w:eastAsia="宋体" w:cs="宋体"/>
                <w:sz w:val="21"/>
                <w:szCs w:val="21"/>
              </w:rPr>
              <w:t>了解受审核方文件、外来文件和环境、职业健康安全适用法律法规及其他要求控制情况；</w:t>
            </w:r>
          </w:p>
          <w:p>
            <w:pPr>
              <w:rPr>
                <w:rFonts w:hint="eastAsia" w:ascii="宋体" w:hAnsi="宋体" w:eastAsia="宋体" w:cs="宋体"/>
                <w:sz w:val="21"/>
                <w:szCs w:val="21"/>
              </w:rPr>
            </w:pPr>
            <w:r>
              <w:rPr>
                <w:rFonts w:hint="eastAsia" w:ascii="宋体" w:hAnsi="宋体" w:eastAsia="宋体" w:cs="宋体"/>
                <w:sz w:val="21"/>
                <w:szCs w:val="21"/>
              </w:rPr>
              <w:t>合规性评价；</w:t>
            </w:r>
          </w:p>
          <w:p>
            <w:pPr>
              <w:rPr>
                <w:rFonts w:hint="eastAsia" w:ascii="宋体" w:hAnsi="宋体" w:eastAsia="宋体" w:cs="宋体"/>
                <w:sz w:val="21"/>
                <w:szCs w:val="21"/>
              </w:rPr>
            </w:pPr>
            <w:r>
              <w:rPr>
                <w:rFonts w:hint="eastAsia" w:ascii="宋体" w:hAnsi="宋体" w:eastAsia="宋体" w:cs="宋体"/>
                <w:sz w:val="21"/>
                <w:szCs w:val="21"/>
              </w:rPr>
              <w:t>了解受审核方是否策划和实施了内部审核；</w:t>
            </w:r>
          </w:p>
          <w:p>
            <w:pPr>
              <w:rPr>
                <w:rFonts w:hint="eastAsia" w:ascii="宋体" w:hAnsi="宋体" w:eastAsia="宋体" w:cs="宋体"/>
                <w:sz w:val="21"/>
                <w:szCs w:val="21"/>
              </w:rPr>
            </w:pPr>
            <w:r>
              <w:rPr>
                <w:rFonts w:hint="eastAsia" w:ascii="宋体" w:hAnsi="宋体" w:eastAsia="宋体" w:cs="宋体"/>
                <w:sz w:val="21"/>
                <w:szCs w:val="21"/>
              </w:rPr>
              <w:t>了解管理评审控制情况；</w:t>
            </w:r>
          </w:p>
          <w:p>
            <w:pPr>
              <w:rPr>
                <w:rFonts w:hint="eastAsia" w:ascii="宋体" w:hAnsi="宋体" w:eastAsia="宋体" w:cs="宋体"/>
                <w:sz w:val="21"/>
                <w:szCs w:val="21"/>
              </w:rPr>
            </w:pPr>
            <w:r>
              <w:rPr>
                <w:rFonts w:hint="eastAsia" w:ascii="宋体" w:hAnsi="宋体" w:eastAsia="宋体" w:cs="宋体"/>
                <w:sz w:val="21"/>
                <w:szCs w:val="21"/>
              </w:rPr>
              <w:t>特种设备、环保、安全设施、监测设备；</w:t>
            </w:r>
          </w:p>
          <w:p>
            <w:pPr>
              <w:rPr>
                <w:rFonts w:hint="eastAsia" w:ascii="宋体" w:hAnsi="宋体" w:eastAsia="宋体" w:cs="宋体"/>
                <w:sz w:val="21"/>
                <w:szCs w:val="21"/>
              </w:rPr>
            </w:pPr>
            <w:r>
              <w:rPr>
                <w:rFonts w:hint="eastAsia" w:ascii="宋体" w:hAnsi="宋体" w:eastAsia="宋体" w:cs="宋体"/>
                <w:sz w:val="21"/>
                <w:szCs w:val="21"/>
              </w:rPr>
              <w:t>必要时检查环境评价、安全评价、消防验收等情况.</w:t>
            </w:r>
          </w:p>
          <w:p>
            <w:pPr>
              <w:rPr>
                <w:rFonts w:hint="eastAsia" w:ascii="宋体" w:hAnsi="宋体" w:eastAsia="宋体" w:cs="宋体"/>
                <w:sz w:val="21"/>
                <w:szCs w:val="21"/>
              </w:rPr>
            </w:pPr>
            <w:r>
              <w:rPr>
                <w:rFonts w:hint="eastAsia" w:ascii="宋体" w:hAnsi="宋体" w:eastAsia="宋体" w:cs="宋体"/>
                <w:sz w:val="21"/>
                <w:szCs w:val="21"/>
              </w:rPr>
              <w:t>验证资质；</w:t>
            </w:r>
          </w:p>
          <w:p>
            <w:pPr>
              <w:rPr>
                <w:rFonts w:hint="eastAsia" w:ascii="宋体" w:hAnsi="宋体" w:eastAsia="宋体" w:cs="宋体"/>
                <w:sz w:val="21"/>
                <w:szCs w:val="21"/>
              </w:rPr>
            </w:pPr>
            <w:r>
              <w:rPr>
                <w:rFonts w:hint="eastAsia" w:ascii="宋体" w:hAnsi="宋体" w:eastAsia="宋体" w:cs="宋体"/>
                <w:sz w:val="21"/>
                <w:szCs w:val="21"/>
              </w:rPr>
              <w:t>国家/地方抽查、顾客满意、相关方投诉处理；</w:t>
            </w:r>
          </w:p>
          <w:p>
            <w:pPr>
              <w:rPr>
                <w:rFonts w:hint="eastAsia" w:ascii="宋体" w:hAnsi="宋体" w:eastAsia="宋体" w:cs="宋体"/>
                <w:sz w:val="21"/>
                <w:szCs w:val="21"/>
              </w:rPr>
            </w:pPr>
            <w:r>
              <w:rPr>
                <w:rFonts w:hint="eastAsia" w:ascii="宋体" w:hAnsi="宋体" w:eastAsia="宋体" w:cs="宋体"/>
                <w:sz w:val="21"/>
                <w:szCs w:val="21"/>
              </w:rPr>
              <w:t>识别二阶段审核的资源配置情况和可行性；</w:t>
            </w:r>
          </w:p>
          <w:p>
            <w:pPr>
              <w:rPr>
                <w:rFonts w:hint="eastAsia" w:ascii="宋体" w:hAnsi="宋体" w:eastAsia="宋体" w:cs="宋体"/>
                <w:sz w:val="21"/>
                <w:szCs w:val="21"/>
              </w:rPr>
            </w:pPr>
            <w:r>
              <w:rPr>
                <w:rFonts w:hint="eastAsia" w:ascii="宋体" w:hAnsi="宋体" w:eastAsia="宋体" w:cs="宋体"/>
                <w:sz w:val="21"/>
                <w:szCs w:val="21"/>
              </w:rPr>
              <w:t>现场观察；</w:t>
            </w:r>
          </w:p>
          <w:p>
            <w:pPr>
              <w:snapToGrid w:val="0"/>
              <w:spacing w:line="280" w:lineRule="exact"/>
              <w:jc w:val="left"/>
              <w:rPr>
                <w:rFonts w:ascii="Times New Roman" w:hAnsi="Times New Roman" w:eastAsia="宋体" w:cs="Times New Roman"/>
                <w:b/>
                <w:kern w:val="2"/>
                <w:sz w:val="20"/>
                <w:lang w:val="en-US" w:eastAsia="zh-CN" w:bidi="ar-SA"/>
              </w:rPr>
            </w:pPr>
            <w:r>
              <w:rPr>
                <w:rFonts w:hint="eastAsia" w:ascii="宋体" w:hAnsi="宋体" w:eastAsia="宋体" w:cs="宋体"/>
                <w:sz w:val="21"/>
                <w:szCs w:val="21"/>
              </w:rPr>
              <w:t>商定第二阶段审核时间、细节等受审核方是否策划和实施了管理。</w:t>
            </w:r>
          </w:p>
        </w:tc>
        <w:tc>
          <w:tcPr>
            <w:tcW w:w="1196" w:type="dxa"/>
            <w:tcBorders>
              <w:righ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011"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5.11</w:t>
            </w:r>
          </w:p>
        </w:tc>
        <w:tc>
          <w:tcPr>
            <w:tcW w:w="1505" w:type="dxa"/>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ascii="Times New Roman" w:hAnsi="Times New Roman" w:eastAsia="宋体" w:cs="Times New Roman"/>
                <w:b/>
                <w:kern w:val="2"/>
                <w:sz w:val="20"/>
                <w:szCs w:val="22"/>
                <w:lang w:val="en-US" w:eastAsia="zh-CN" w:bidi="ar-SA"/>
              </w:rPr>
              <w:t>1</w:t>
            </w:r>
            <w:r>
              <w:rPr>
                <w:rFonts w:hint="eastAsia" w:cs="Times New Roman"/>
                <w:b/>
                <w:kern w:val="2"/>
                <w:sz w:val="20"/>
                <w:szCs w:val="22"/>
                <w:lang w:val="en-US" w:eastAsia="zh-CN" w:bidi="ar-SA"/>
              </w:rPr>
              <w:t>6</w:t>
            </w:r>
            <w:r>
              <w:rPr>
                <w:rFonts w:hint="eastAsia" w:ascii="Times New Roman" w:hAnsi="Times New Roman" w:eastAsia="宋体" w:cs="Times New Roman"/>
                <w:b/>
                <w:kern w:val="2"/>
                <w:sz w:val="20"/>
                <w:szCs w:val="22"/>
                <w:lang w:val="en-US" w:eastAsia="zh-CN" w:bidi="ar-SA"/>
              </w:rPr>
              <w:t>:</w:t>
            </w:r>
            <w:r>
              <w:rPr>
                <w:rFonts w:hint="eastAsia" w:cs="Times New Roman"/>
                <w:b/>
                <w:kern w:val="2"/>
                <w:sz w:val="20"/>
                <w:szCs w:val="22"/>
                <w:lang w:val="en-US" w:eastAsia="zh-CN" w:bidi="ar-SA"/>
              </w:rPr>
              <w:t>3</w:t>
            </w:r>
            <w:r>
              <w:rPr>
                <w:rFonts w:hint="eastAsia" w:ascii="Times New Roman" w:hAnsi="Times New Roman" w:eastAsia="宋体" w:cs="Times New Roman"/>
                <w:b/>
                <w:kern w:val="2"/>
                <w:sz w:val="20"/>
                <w:szCs w:val="22"/>
                <w:lang w:val="en-US" w:eastAsia="zh-CN" w:bidi="ar-SA"/>
              </w:rPr>
              <w:t>0-17:</w:t>
            </w:r>
            <w:r>
              <w:rPr>
                <w:rFonts w:hint="eastAsia" w:cs="Times New Roman"/>
                <w:b/>
                <w:kern w:val="2"/>
                <w:sz w:val="20"/>
                <w:szCs w:val="22"/>
                <w:lang w:val="en-US" w:eastAsia="zh-CN" w:bidi="ar-SA"/>
              </w:rPr>
              <w:t>0</w:t>
            </w:r>
            <w:r>
              <w:rPr>
                <w:rFonts w:hint="eastAsia" w:ascii="Times New Roman" w:hAnsi="Times New Roman" w:eastAsia="宋体" w:cs="Times New Roman"/>
                <w:b/>
                <w:kern w:val="2"/>
                <w:sz w:val="20"/>
                <w:szCs w:val="22"/>
                <w:lang w:val="en-US" w:eastAsia="zh-CN" w:bidi="ar-SA"/>
              </w:rPr>
              <w:t>0</w:t>
            </w:r>
          </w:p>
        </w:tc>
        <w:tc>
          <w:tcPr>
            <w:tcW w:w="6665" w:type="dxa"/>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rPr>
              <w:t>末次会议/管理层、各部门负责人</w:t>
            </w:r>
          </w:p>
        </w:tc>
        <w:tc>
          <w:tcPr>
            <w:tcW w:w="1196" w:type="dxa"/>
            <w:tcBorders>
              <w:righ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AB</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2"/>
        <w:rFonts w:hint="default"/>
        <w:w w:val="90"/>
      </w:rPr>
      <w:t>Beijing International Standard united Certification Co.,Ltd.</w:t>
    </w:r>
  </w:p>
  <w:p>
    <w:pPr>
      <w:pStyle w:val="5"/>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7A6CE5"/>
    <w:rsid w:val="2C0435EC"/>
    <w:rsid w:val="359C63DB"/>
    <w:rsid w:val="5E476A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字符"/>
    <w:basedOn w:val="7"/>
    <w:link w:val="5"/>
    <w:uiPriority w:val="99"/>
    <w:rPr>
      <w:rFonts w:ascii="Times New Roman" w:hAnsi="Times New Roman" w:eastAsia="宋体" w:cs="Times New Roman"/>
      <w:sz w:val="18"/>
      <w:szCs w:val="18"/>
    </w:rPr>
  </w:style>
  <w:style w:type="character" w:customStyle="1" w:styleId="10">
    <w:name w:val="页脚 字符"/>
    <w:basedOn w:val="7"/>
    <w:link w:val="4"/>
    <w:uiPriority w:val="99"/>
    <w:rPr>
      <w:rFonts w:ascii="Times New Roman" w:hAnsi="Times New Roman" w:eastAsia="宋体" w:cs="Times New Roman"/>
      <w:sz w:val="18"/>
      <w:szCs w:val="18"/>
    </w:r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13</TotalTime>
  <ScaleCrop>false</ScaleCrop>
  <LinksUpToDate>false</LinksUpToDate>
  <CharactersWithSpaces>1267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lenovo1018</cp:lastModifiedBy>
  <cp:lastPrinted>2019-03-27T03:10:00Z</cp:lastPrinted>
  <dcterms:modified xsi:type="dcterms:W3CDTF">2021-05-16T09:32:57Z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