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安平县巨亚丝网制造有限公司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宋泽林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现场审核发现，未提供对浸塑、喷塑外包方实施了环境、职业健康安全方面影响的证据。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2834005</wp:posOffset>
                  </wp:positionH>
                  <wp:positionV relativeFrom="paragraph">
                    <wp:posOffset>33655</wp:posOffset>
                  </wp:positionV>
                  <wp:extent cx="981075" cy="47244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7"/>
            <w:r>
              <w:rPr>
                <w:rFonts w:hint="eastAsia" w:ascii="宋体" w:eastAsia="宋体"/>
                <w:b/>
                <w:bCs/>
                <w:color w:val="000000"/>
                <w:sz w:val="26"/>
                <w:szCs w:val="26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100330</wp:posOffset>
                  </wp:positionV>
                  <wp:extent cx="774065" cy="410845"/>
                  <wp:effectExtent l="0" t="0" r="635" b="8255"/>
                  <wp:wrapNone/>
                  <wp:docPr id="2" name="图片 4" descr="47501c1620fc144290a8a7fb1ab4d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47501c1620fc144290a8a7fb1ab4d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B073C"/>
    <w:rsid w:val="1A0A6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2021-05-11T06:27:19Z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8FD5803D4F0443499CE24E00FE0DCB19</vt:lpwstr>
  </property>
</Properties>
</file>