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0" w:firstLineChars="10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苏州贝斯特装饰新材料有限公司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匡青奇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lang w:val="en-US" w:eastAsia="zh-CN"/>
              </w:rPr>
              <w:t>，2021年1-4月份的单位产品综合能耗为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263.40</w:t>
            </w:r>
            <w:r>
              <w:rPr>
                <w:rFonts w:hint="eastAsia"/>
                <w:lang w:val="en-US" w:eastAsia="zh-CN"/>
              </w:rPr>
              <w:t>kgce/t，超过年度目标240kgce/t，没有对单位产品综合能耗超目标进行院系分析，也没有制定控制措施。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A2458"/>
    <w:rsid w:val="78247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2021-05-09T09:13:54Z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3694E371155D4FF69E7999B94DFE994D</vt:lpwstr>
  </property>
</Properties>
</file>