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348"/>
        <w:gridCol w:w="786"/>
        <w:gridCol w:w="284"/>
        <w:gridCol w:w="425"/>
        <w:gridCol w:w="364"/>
        <w:gridCol w:w="61"/>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4"/>
            <w:vAlign w:val="center"/>
          </w:tcPr>
          <w:p>
            <w:pPr>
              <w:rPr>
                <w:sz w:val="21"/>
                <w:szCs w:val="21"/>
              </w:rPr>
            </w:pPr>
            <w:bookmarkStart w:id="0" w:name="组织名称"/>
            <w:r>
              <w:rPr>
                <w:sz w:val="21"/>
                <w:szCs w:val="21"/>
              </w:rPr>
              <w:t>苏州贝斯特装饰新材料有限公司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0317-2021-EnMS</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8"/>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r>
              <w:rPr>
                <w:rFonts w:hint="eastAsia" w:ascii="宋体" w:hAnsi="宋体" w:eastAsia="宋体" w:cs="宋体"/>
                <w:sz w:val="21"/>
                <w:szCs w:val="21"/>
                <w:lang w:eastAsia="zh-CN"/>
              </w:rPr>
              <w:t>■</w:t>
            </w:r>
            <w:r>
              <w:rPr>
                <w:spacing w:val="-2"/>
                <w:sz w:val="21"/>
                <w:szCs w:val="21"/>
              </w:rPr>
              <w:t>E</w:t>
            </w:r>
            <w:r>
              <w:rPr>
                <w:rFonts w:hint="eastAsia"/>
                <w:spacing w:val="-2"/>
                <w:sz w:val="21"/>
                <w:szCs w:val="21"/>
                <w:lang w:val="en-US" w:eastAsia="zh-CN"/>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匡青奇</w:t>
            </w:r>
            <w:bookmarkEnd w:id="5"/>
          </w:p>
        </w:tc>
        <w:tc>
          <w:tcPr>
            <w:tcW w:w="1701" w:type="dxa"/>
            <w:gridSpan w:val="2"/>
            <w:vAlign w:val="center"/>
          </w:tcPr>
          <w:p>
            <w:pPr>
              <w:rPr>
                <w:sz w:val="21"/>
                <w:szCs w:val="21"/>
              </w:rPr>
            </w:pPr>
            <w:r>
              <w:rPr>
                <w:rFonts w:hint="eastAsia"/>
                <w:sz w:val="21"/>
                <w:szCs w:val="21"/>
              </w:rPr>
              <w:t>联系电话</w:t>
            </w:r>
          </w:p>
        </w:tc>
        <w:tc>
          <w:tcPr>
            <w:tcW w:w="1701" w:type="dxa"/>
            <w:gridSpan w:val="3"/>
            <w:vAlign w:val="center"/>
          </w:tcPr>
          <w:p>
            <w:pPr>
              <w:rPr>
                <w:sz w:val="21"/>
                <w:szCs w:val="21"/>
              </w:rPr>
            </w:pPr>
            <w:bookmarkStart w:id="6" w:name="联系人电话"/>
            <w:r>
              <w:rPr>
                <w:sz w:val="21"/>
                <w:szCs w:val="21"/>
              </w:rPr>
              <w:t>18915788552</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r>
              <w:rPr>
                <w:sz w:val="21"/>
                <w:szCs w:val="21"/>
              </w:rPr>
              <w:t>qingqi.kuang@newbeston.com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8" w:name="最高管理者"/>
            <w:bookmarkEnd w:id="8"/>
          </w:p>
        </w:tc>
        <w:tc>
          <w:tcPr>
            <w:tcW w:w="1701" w:type="dxa"/>
            <w:gridSpan w:val="2"/>
            <w:vAlign w:val="center"/>
          </w:tcPr>
          <w:p>
            <w:pPr>
              <w:rPr>
                <w:sz w:val="21"/>
                <w:szCs w:val="21"/>
              </w:rPr>
            </w:pPr>
            <w:r>
              <w:rPr>
                <w:rFonts w:hint="eastAsia"/>
                <w:sz w:val="21"/>
                <w:szCs w:val="21"/>
              </w:rPr>
              <w:t>传真</w:t>
            </w:r>
          </w:p>
        </w:tc>
        <w:tc>
          <w:tcPr>
            <w:tcW w:w="1701" w:type="dxa"/>
            <w:gridSpan w:val="3"/>
            <w:vAlign w:val="center"/>
          </w:tcPr>
          <w:p>
            <w:bookmarkStart w:id="9" w:name="联系人传真"/>
            <w:bookmarkEnd w:id="9"/>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10"/>
            <w:vAlign w:val="center"/>
          </w:tcPr>
          <w:p>
            <w:bookmarkStart w:id="10" w:name="审核范围"/>
            <w:r>
              <w:t>功能性树脂装饰材料的研发及生产所涉及的相关能源管理活动</w:t>
            </w:r>
            <w:bookmarkEnd w:id="10"/>
          </w:p>
        </w:tc>
        <w:tc>
          <w:tcPr>
            <w:tcW w:w="850" w:type="dxa"/>
            <w:gridSpan w:val="3"/>
            <w:vAlign w:val="center"/>
          </w:tcPr>
          <w:p>
            <w:r>
              <w:rPr>
                <w:rFonts w:hint="eastAsia"/>
              </w:rPr>
              <w:t>专业</w:t>
            </w:r>
          </w:p>
          <w:p>
            <w:r>
              <w:rPr>
                <w:rFonts w:hint="eastAsia"/>
              </w:rPr>
              <w:t>代码</w:t>
            </w:r>
          </w:p>
        </w:tc>
        <w:tc>
          <w:tcPr>
            <w:tcW w:w="1654" w:type="dxa"/>
            <w:vAlign w:val="center"/>
          </w:tcPr>
          <w:p>
            <w:bookmarkStart w:id="11" w:name="专业代码"/>
            <w:r>
              <w:t>2.3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485" w:type="dxa"/>
            <w:gridSpan w:val="3"/>
            <w:vAlign w:val="center"/>
          </w:tcPr>
          <w:p>
            <w:r>
              <w:rPr>
                <w:rFonts w:hint="eastAsia"/>
              </w:rPr>
              <w:t>审核准则</w:t>
            </w:r>
          </w:p>
        </w:tc>
        <w:tc>
          <w:tcPr>
            <w:tcW w:w="8741" w:type="dxa"/>
            <w:gridSpan w:val="14"/>
            <w:vAlign w:val="center"/>
          </w:tcPr>
          <w:p>
            <w:pPr>
              <w:rPr>
                <w:rFonts w:ascii="宋体" w:hAnsi="宋体"/>
                <w:b/>
                <w:sz w:val="21"/>
                <w:szCs w:val="21"/>
              </w:rPr>
            </w:pPr>
            <w:bookmarkStart w:id="12" w:name="审核依据"/>
            <w:r>
              <w:rPr>
                <w:rFonts w:hint="eastAsia" w:ascii="宋体" w:hAnsi="宋体"/>
                <w:b/>
                <w:sz w:val="21"/>
                <w:szCs w:val="21"/>
              </w:rPr>
              <w:t>ISO50001:2018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4"/>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2021年05月07日 上午至2021年05月08日 上午 (共1.5天)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4"/>
            <w:vAlign w:val="center"/>
          </w:tcPr>
          <w:p>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2616" w:type="dxa"/>
            <w:gridSpan w:val="4"/>
            <w:vAlign w:val="center"/>
          </w:tcPr>
          <w:p>
            <w:pPr>
              <w:jc w:val="center"/>
              <w:rPr>
                <w:sz w:val="21"/>
                <w:szCs w:val="21"/>
              </w:rPr>
            </w:pPr>
            <w:r>
              <w:rPr>
                <w:rFonts w:hint="eastAsia"/>
                <w:sz w:val="21"/>
                <w:szCs w:val="21"/>
              </w:rPr>
              <w:t>专业代码</w:t>
            </w:r>
          </w:p>
        </w:tc>
        <w:tc>
          <w:tcPr>
            <w:tcW w:w="1859" w:type="dxa"/>
            <w:gridSpan w:val="4"/>
            <w:vAlign w:val="center"/>
          </w:tcPr>
          <w:p>
            <w:pPr>
              <w:jc w:val="center"/>
              <w:rPr>
                <w:sz w:val="21"/>
                <w:szCs w:val="21"/>
              </w:rPr>
            </w:pPr>
            <w:r>
              <w:rPr>
                <w:rFonts w:hint="eastAsia"/>
                <w:sz w:val="21"/>
                <w:szCs w:val="21"/>
              </w:rPr>
              <w:t>联系电话</w:t>
            </w:r>
          </w:p>
        </w:tc>
        <w:tc>
          <w:tcPr>
            <w:tcW w:w="1715" w:type="dxa"/>
            <w:gridSpan w:val="2"/>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周涛</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审核员</w:t>
            </w:r>
          </w:p>
        </w:tc>
        <w:tc>
          <w:tcPr>
            <w:tcW w:w="2616" w:type="dxa"/>
            <w:gridSpan w:val="4"/>
            <w:vAlign w:val="center"/>
          </w:tcPr>
          <w:p>
            <w:pPr>
              <w:jc w:val="center"/>
              <w:rPr>
                <w:sz w:val="21"/>
                <w:szCs w:val="21"/>
              </w:rPr>
            </w:pPr>
            <w:r>
              <w:rPr>
                <w:sz w:val="21"/>
                <w:szCs w:val="21"/>
              </w:rPr>
              <w:t>2.3</w:t>
            </w:r>
          </w:p>
        </w:tc>
        <w:tc>
          <w:tcPr>
            <w:tcW w:w="1859" w:type="dxa"/>
            <w:gridSpan w:val="4"/>
            <w:vAlign w:val="center"/>
          </w:tcPr>
          <w:p>
            <w:pPr>
              <w:jc w:val="center"/>
              <w:rPr>
                <w:sz w:val="21"/>
                <w:szCs w:val="21"/>
              </w:rPr>
            </w:pPr>
            <w:r>
              <w:rPr>
                <w:sz w:val="21"/>
                <w:szCs w:val="21"/>
              </w:rPr>
              <w:t>13863734938</w:t>
            </w:r>
          </w:p>
        </w:tc>
        <w:tc>
          <w:tcPr>
            <w:tcW w:w="1715" w:type="dxa"/>
            <w:gridSpan w:val="2"/>
            <w:vAlign w:val="center"/>
          </w:tcPr>
          <w:p>
            <w:pPr>
              <w:ind w:firstLine="210" w:firstLineChars="100"/>
              <w:jc w:val="both"/>
              <w:rPr>
                <w:sz w:val="21"/>
                <w:szCs w:val="21"/>
              </w:rPr>
            </w:pPr>
            <w:r>
              <w:rPr>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马佳</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审核员</w:t>
            </w:r>
          </w:p>
        </w:tc>
        <w:tc>
          <w:tcPr>
            <w:tcW w:w="2616" w:type="dxa"/>
            <w:gridSpan w:val="4"/>
            <w:vAlign w:val="center"/>
          </w:tcPr>
          <w:p>
            <w:pPr>
              <w:jc w:val="center"/>
              <w:rPr>
                <w:sz w:val="21"/>
                <w:szCs w:val="21"/>
              </w:rPr>
            </w:pPr>
            <w:r>
              <w:rPr>
                <w:sz w:val="21"/>
                <w:szCs w:val="21"/>
              </w:rPr>
              <w:t>2.3</w:t>
            </w:r>
          </w:p>
        </w:tc>
        <w:tc>
          <w:tcPr>
            <w:tcW w:w="1859" w:type="dxa"/>
            <w:gridSpan w:val="4"/>
            <w:vAlign w:val="center"/>
          </w:tcPr>
          <w:p>
            <w:pPr>
              <w:jc w:val="center"/>
              <w:rPr>
                <w:sz w:val="21"/>
                <w:szCs w:val="21"/>
              </w:rPr>
            </w:pPr>
            <w:r>
              <w:rPr>
                <w:sz w:val="21"/>
                <w:szCs w:val="21"/>
              </w:rPr>
              <w:t>13701012828</w:t>
            </w:r>
          </w:p>
        </w:tc>
        <w:tc>
          <w:tcPr>
            <w:tcW w:w="1715" w:type="dxa"/>
            <w:gridSpan w:val="2"/>
            <w:vAlign w:val="center"/>
          </w:tcPr>
          <w:p>
            <w:pPr>
              <w:jc w:val="center"/>
              <w:rPr>
                <w:sz w:val="21"/>
                <w:szCs w:val="21"/>
              </w:rPr>
            </w:pPr>
            <w:r>
              <w:rPr>
                <w:sz w:val="21"/>
                <w:szCs w:val="21"/>
              </w:rPr>
              <w:t>ISC-61499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rFonts w:hint="default" w:eastAsia="宋体"/>
                <w:sz w:val="21"/>
                <w:szCs w:val="21"/>
                <w:lang w:val="en-US" w:eastAsia="zh-CN"/>
              </w:rPr>
            </w:pPr>
            <w:r>
              <w:rPr>
                <w:rFonts w:hint="eastAsia"/>
                <w:sz w:val="21"/>
                <w:szCs w:val="21"/>
                <w:lang w:val="en-US" w:eastAsia="zh-CN"/>
              </w:rPr>
              <w:t xml:space="preserve">    周  涛</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rFonts w:hint="default" w:eastAsia="宋体"/>
                <w:sz w:val="21"/>
                <w:szCs w:val="21"/>
                <w:lang w:val="en-US" w:eastAsia="zh-CN"/>
              </w:rPr>
            </w:pPr>
            <w:r>
              <w:rPr>
                <w:rFonts w:hint="eastAsia"/>
                <w:sz w:val="21"/>
                <w:szCs w:val="21"/>
                <w:lang w:val="en-US" w:eastAsia="zh-CN"/>
              </w:rPr>
              <w:t xml:space="preserve">     李永忠</w:t>
            </w:r>
          </w:p>
        </w:tc>
        <w:tc>
          <w:tcPr>
            <w:tcW w:w="1418"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13863734938</w:t>
            </w: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3"/>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ind w:firstLine="210" w:firstLineChars="100"/>
              <w:rPr>
                <w:rFonts w:hint="default" w:eastAsia="宋体"/>
                <w:sz w:val="21"/>
                <w:szCs w:val="21"/>
                <w:lang w:val="en-US" w:eastAsia="zh-CN"/>
              </w:rPr>
            </w:pPr>
            <w:r>
              <w:rPr>
                <w:rFonts w:hint="eastAsia"/>
                <w:sz w:val="21"/>
                <w:szCs w:val="21"/>
                <w:lang w:val="en-US" w:eastAsia="zh-CN"/>
              </w:rPr>
              <w:t>2021.5.6</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 xml:space="preserve">   2021.5.6</w:t>
            </w:r>
          </w:p>
        </w:tc>
        <w:tc>
          <w:tcPr>
            <w:tcW w:w="1418" w:type="dxa"/>
            <w:gridSpan w:val="3"/>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eastAsiaTheme="minorEastAsia"/>
          <w:sz w:val="30"/>
          <w:szCs w:val="30"/>
          <w:lang w:val="en-US" w:eastAsia="zh-CN"/>
        </w:rPr>
      </w:pPr>
      <w:r>
        <w:rPr>
          <w:rFonts w:hint="eastAsia" w:asciiTheme="minorEastAsia" w:hAnsiTheme="minorEastAsia" w:eastAsiaTheme="minorEastAsia"/>
          <w:sz w:val="32"/>
          <w:szCs w:val="32"/>
        </w:rPr>
        <w:t>一阶段现场审核计划</w:t>
      </w:r>
      <w:r>
        <w:rPr>
          <w:rFonts w:hint="eastAsia" w:asciiTheme="minorEastAsia" w:hAnsiTheme="minorEastAsia" w:eastAsiaTheme="minorEastAsia"/>
          <w:sz w:val="32"/>
          <w:szCs w:val="32"/>
          <w:lang w:val="en-US" w:eastAsia="zh-CN"/>
        </w:rPr>
        <w:t>6</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947"/>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日期</w:t>
            </w:r>
          </w:p>
        </w:tc>
        <w:tc>
          <w:tcPr>
            <w:tcW w:w="1389"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时间</w:t>
            </w:r>
          </w:p>
        </w:tc>
        <w:tc>
          <w:tcPr>
            <w:tcW w:w="6947"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受审核部门、场所及审核内容</w:t>
            </w:r>
          </w:p>
        </w:tc>
        <w:tc>
          <w:tcPr>
            <w:tcW w:w="1030" w:type="dxa"/>
            <w:tcBorders>
              <w:righ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rPr>
                <w:rFonts w:hint="default" w:ascii="Times New Roman" w:hAnsi="Times New Roman" w:cs="Times New Roman"/>
                <w:sz w:val="18"/>
                <w:szCs w:val="18"/>
                <w:lang w:val="en-US" w:eastAsia="zh-CN"/>
              </w:rPr>
            </w:pPr>
          </w:p>
        </w:tc>
        <w:tc>
          <w:tcPr>
            <w:tcW w:w="1389" w:type="dxa"/>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2021.5.7</w:t>
            </w:r>
          </w:p>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8:00-8:30</w:t>
            </w:r>
          </w:p>
        </w:tc>
        <w:tc>
          <w:tcPr>
            <w:tcW w:w="6947" w:type="dxa"/>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首次会议</w:t>
            </w:r>
          </w:p>
        </w:tc>
        <w:tc>
          <w:tcPr>
            <w:tcW w:w="1030" w:type="dxa"/>
            <w:tcBorders>
              <w:right w:val="single" w:color="auto" w:sz="8" w:space="0"/>
            </w:tcBorders>
            <w:vAlign w:val="center"/>
          </w:tcPr>
          <w:p>
            <w:pPr>
              <w:rPr>
                <w:sz w:val="21"/>
                <w:szCs w:val="21"/>
              </w:rPr>
            </w:pPr>
            <w:r>
              <w:rPr>
                <w:sz w:val="21"/>
                <w:szCs w:val="21"/>
              </w:rPr>
              <w:t>ISC-72033</w:t>
            </w:r>
          </w:p>
          <w:p>
            <w:pPr>
              <w:rPr>
                <w:rFonts w:hint="eastAsia"/>
                <w:sz w:val="21"/>
                <w:szCs w:val="21"/>
                <w:lang w:val="en-US" w:eastAsia="zh-CN"/>
              </w:rPr>
            </w:pPr>
            <w:r>
              <w:rPr>
                <w:sz w:val="21"/>
                <w:szCs w:val="21"/>
              </w:rPr>
              <w:t>ISC-61499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default" w:ascii="Times New Roman" w:hAnsi="Times New Roman" w:cs="Times New Roman"/>
                <w:sz w:val="18"/>
                <w:szCs w:val="18"/>
                <w:lang w:val="en-US" w:eastAsia="zh-CN"/>
              </w:rPr>
            </w:pPr>
          </w:p>
        </w:tc>
        <w:tc>
          <w:tcPr>
            <w:tcW w:w="1389" w:type="dxa"/>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2021.5.7</w:t>
            </w:r>
          </w:p>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8:30-12:00</w:t>
            </w:r>
          </w:p>
        </w:tc>
        <w:tc>
          <w:tcPr>
            <w:tcW w:w="6947"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一、</w:t>
            </w:r>
            <w:r>
              <w:rPr>
                <w:rFonts w:hint="eastAsia" w:ascii="Times New Roman" w:hAnsi="Times New Roman" w:cs="Times New Roman"/>
                <w:sz w:val="18"/>
                <w:szCs w:val="18"/>
              </w:rPr>
              <w:t>合同基本信息确认:</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核对资质证书（营业执照、生产（安全）许可证、行业许可证、3C证书等）原件和复印件/扫描件的一致性</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确定审核范围的合理性（地址、产品/服务）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确定多现场和临时现场的地址</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 xml:space="preserve">确定有效的员工人数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生产、服务的班次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体系运行时间是否满足3个月</w:t>
            </w:r>
          </w:p>
        </w:tc>
        <w:tc>
          <w:tcPr>
            <w:tcW w:w="1030" w:type="dxa"/>
            <w:tcBorders>
              <w:right w:val="single" w:color="auto" w:sz="8" w:space="0"/>
            </w:tcBorders>
            <w:vAlign w:val="center"/>
          </w:tcPr>
          <w:p>
            <w:pPr>
              <w:rPr>
                <w:rFonts w:hint="default"/>
                <w:sz w:val="21"/>
                <w:szCs w:val="21"/>
                <w:lang w:val="en-US" w:eastAsia="zh-CN"/>
              </w:rPr>
            </w:pPr>
            <w:r>
              <w:rPr>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2021.5.7</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13:00-15:00</w:t>
            </w:r>
          </w:p>
        </w:tc>
        <w:tc>
          <w:tcPr>
            <w:tcW w:w="6947"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二、</w:t>
            </w:r>
            <w:r>
              <w:rPr>
                <w:rFonts w:hint="eastAsia" w:ascii="Times New Roman" w:hAnsi="Times New Roman" w:cs="Times New Roman"/>
                <w:sz w:val="18"/>
                <w:szCs w:val="18"/>
              </w:rPr>
              <w:t>了解企业基本情况：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组织环境</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 xml:space="preserve">主要的相关方和期望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风险的识别和评价</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组织机构的设置</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外部提供过程、产品和服务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被主管部门处罚和曝光情况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其他机构转入情况（适用时）</w:t>
            </w:r>
          </w:p>
        </w:tc>
        <w:tc>
          <w:tcPr>
            <w:tcW w:w="1030" w:type="dxa"/>
            <w:tcBorders>
              <w:right w:val="single" w:color="auto" w:sz="8" w:space="0"/>
            </w:tcBorders>
            <w:vAlign w:val="center"/>
          </w:tcPr>
          <w:p>
            <w:pPr>
              <w:rPr>
                <w:sz w:val="21"/>
                <w:szCs w:val="21"/>
              </w:rPr>
            </w:pPr>
            <w:r>
              <w:rPr>
                <w:sz w:val="21"/>
                <w:szCs w:val="21"/>
              </w:rPr>
              <w:t>ISC-72033</w:t>
            </w:r>
          </w:p>
          <w:p>
            <w:pPr>
              <w:rPr>
                <w:sz w:val="21"/>
                <w:szCs w:val="21"/>
              </w:rPr>
            </w:pPr>
          </w:p>
          <w:p>
            <w:pPr>
              <w:rPr>
                <w:rFonts w:hint="eastAsia"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2021.5.7</w:t>
            </w:r>
          </w:p>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15:00-17:00</w:t>
            </w:r>
          </w:p>
        </w:tc>
        <w:tc>
          <w:tcPr>
            <w:tcW w:w="6947"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三、</w:t>
            </w:r>
            <w:r>
              <w:rPr>
                <w:rFonts w:hint="eastAsia" w:ascii="Times New Roman" w:hAnsi="Times New Roman" w:cs="Times New Roman"/>
                <w:sz w:val="18"/>
                <w:szCs w:val="18"/>
              </w:rPr>
              <w:t>文件化体系策划情况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 xml:space="preserve"> 管理手册；</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文件化的程序；</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作业文件；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记录表格</w:t>
            </w:r>
          </w:p>
        </w:tc>
        <w:tc>
          <w:tcPr>
            <w:tcW w:w="1030" w:type="dxa"/>
            <w:tcBorders>
              <w:right w:val="single" w:color="auto" w:sz="8" w:space="0"/>
            </w:tcBorders>
            <w:vAlign w:val="center"/>
          </w:tcPr>
          <w:p>
            <w:pPr>
              <w:rPr>
                <w:sz w:val="21"/>
                <w:szCs w:val="21"/>
              </w:rPr>
            </w:pPr>
            <w:r>
              <w:rPr>
                <w:sz w:val="21"/>
                <w:szCs w:val="21"/>
              </w:rPr>
              <w:t>ISC-72033</w:t>
            </w:r>
          </w:p>
          <w:p>
            <w:pPr>
              <w:rPr>
                <w:rFonts w:hint="eastAsia"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2021.5.18</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8：00-11：30</w:t>
            </w:r>
          </w:p>
        </w:tc>
        <w:tc>
          <w:tcPr>
            <w:tcW w:w="6947"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管理方针制定与贯彻情况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管理目标及完成统计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员工对相关标准的认知和能力（贯标培训、应知应会、持证上岗等）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相关方/客户的反馈</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内审的策划和实施</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管理体系的评审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对多场所/临时场所建立的控制的水平（适用时）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8、</w:t>
            </w:r>
            <w:r>
              <w:rPr>
                <w:rFonts w:hint="eastAsia" w:ascii="Times New Roman" w:hAnsi="Times New Roman" w:cs="Times New Roman"/>
                <w:sz w:val="18"/>
                <w:szCs w:val="18"/>
              </w:rPr>
              <w:t>识别二阶段审核的资源配置情况和可行性</w:t>
            </w:r>
          </w:p>
        </w:tc>
        <w:tc>
          <w:tcPr>
            <w:tcW w:w="1030" w:type="dxa"/>
            <w:tcBorders>
              <w:right w:val="single" w:color="auto" w:sz="8" w:space="0"/>
            </w:tcBorders>
            <w:vAlign w:val="center"/>
          </w:tcPr>
          <w:p>
            <w:pPr>
              <w:rPr>
                <w:rFonts w:hint="eastAsia" w:ascii="Times New Roman" w:hAnsi="Times New Roman" w:eastAsia="宋体" w:cs="Times New Roman"/>
                <w:sz w:val="18"/>
                <w:szCs w:val="18"/>
                <w:lang w:eastAsia="zh-CN"/>
              </w:rPr>
            </w:pPr>
            <w:r>
              <w:rPr>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2021.5.7</w:t>
            </w:r>
          </w:p>
          <w:p>
            <w:pPr>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8:30-17:00</w:t>
            </w:r>
          </w:p>
        </w:tc>
        <w:tc>
          <w:tcPr>
            <w:tcW w:w="6947" w:type="dxa"/>
            <w:shd w:val="clear" w:color="auto" w:fill="92D050"/>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五、</w:t>
            </w:r>
            <w:r>
              <w:rPr>
                <w:rFonts w:hint="eastAsia" w:ascii="Times New Roman" w:hAnsi="Times New Roman" w:cs="Times New Roman"/>
                <w:sz w:val="18"/>
                <w:szCs w:val="18"/>
              </w:rPr>
              <w:t>EnMS运行情况：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查看能源评审报告的编制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 xml:space="preserve">了解能源使用种类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 xml:space="preserve"> 查看确定主要能源使用及识别影响主要能源使用的相关变量的合理性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了解能源绩效改进和控制措施的实施</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了解适用的环境法律和其他要求的获取、识别程序实施情况和合规性评价</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查看合规性证明（新扩建的节能评估、节能效果监测或后评估报告、国家限额标准符合性、地方政府下达目标指标的符合性）</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了解能源计量管理、计量器具配备率、准确度等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8、</w:t>
            </w:r>
            <w:r>
              <w:rPr>
                <w:rFonts w:hint="eastAsia" w:ascii="Times New Roman" w:hAnsi="Times New Roman" w:cs="Times New Roman"/>
                <w:sz w:val="18"/>
                <w:szCs w:val="18"/>
              </w:rPr>
              <w:t>了解主要耗能设备能效测试</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9、</w:t>
            </w:r>
            <w:r>
              <w:rPr>
                <w:rFonts w:hint="eastAsia" w:ascii="Times New Roman" w:hAnsi="Times New Roman" w:cs="Times New Roman"/>
                <w:sz w:val="18"/>
                <w:szCs w:val="18"/>
              </w:rPr>
              <w:t>了解高耗能淘汰落后设备的识别和更新情况</w:t>
            </w:r>
          </w:p>
        </w:tc>
        <w:tc>
          <w:tcPr>
            <w:tcW w:w="1030" w:type="dxa"/>
            <w:tcBorders>
              <w:right w:val="single" w:color="auto" w:sz="8" w:space="0"/>
            </w:tcBorders>
            <w:shd w:val="clear" w:color="auto" w:fill="92D050"/>
            <w:vAlign w:val="center"/>
          </w:tcPr>
          <w:p>
            <w:pPr>
              <w:rPr>
                <w:rFonts w:hint="eastAsia" w:ascii="Times New Roman" w:hAnsi="Times New Roman" w:cs="Times New Roman"/>
                <w:sz w:val="18"/>
                <w:szCs w:val="18"/>
              </w:rPr>
            </w:pPr>
            <w:r>
              <w:rPr>
                <w:sz w:val="21"/>
                <w:szCs w:val="21"/>
              </w:rPr>
              <w:t>ISC-61499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2021.5.8</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8:00-11:30</w:t>
            </w:r>
          </w:p>
        </w:tc>
        <w:tc>
          <w:tcPr>
            <w:tcW w:w="6947" w:type="dxa"/>
            <w:shd w:val="clear" w:color="auto" w:fill="92D050"/>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六、</w:t>
            </w:r>
            <w:r>
              <w:rPr>
                <w:rFonts w:hint="eastAsia" w:ascii="Times New Roman" w:hAnsi="Times New Roman" w:cs="Times New Roman"/>
                <w:sz w:val="18"/>
                <w:szCs w:val="18"/>
              </w:rPr>
              <w:t>EnMS场所巡查:</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巡视生产区域（厂区、车间等主要能源使用区域）</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巡视动力设施和辅助设施（锅炉房、高低压配电室、空压站、制冷站、改建/扩建施工现场等）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现场核实能源计量的管理</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观察节能设施运行情况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观察监视和测量设备的种类并了解检定/校准情况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观察现场能源的跑冒滴漏现象</w:t>
            </w:r>
          </w:p>
        </w:tc>
        <w:tc>
          <w:tcPr>
            <w:tcW w:w="1030" w:type="dxa"/>
            <w:tcBorders>
              <w:right w:val="single" w:color="auto" w:sz="8" w:space="0"/>
            </w:tcBorders>
            <w:shd w:val="clear" w:color="auto" w:fill="92D050"/>
            <w:vAlign w:val="center"/>
          </w:tcPr>
          <w:p>
            <w:pPr>
              <w:rPr>
                <w:rFonts w:hint="eastAsia" w:ascii="Times New Roman" w:hAnsi="Times New Roman" w:eastAsia="宋体" w:cs="Times New Roman"/>
                <w:sz w:val="18"/>
                <w:szCs w:val="18"/>
                <w:lang w:val="en-US" w:eastAsia="zh-CN"/>
              </w:rPr>
            </w:pPr>
            <w:r>
              <w:rPr>
                <w:sz w:val="21"/>
                <w:szCs w:val="21"/>
              </w:rPr>
              <w:t>ISC-61499</w:t>
            </w:r>
            <w:bookmarkStart w:id="14" w:name="_GoBack"/>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011" w:type="dxa"/>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11：30-12：00</w:t>
            </w:r>
          </w:p>
        </w:tc>
        <w:tc>
          <w:tcPr>
            <w:tcW w:w="6947" w:type="dxa"/>
            <w:shd w:val="clear" w:color="auto" w:fill="92D050"/>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末次会议</w:t>
            </w:r>
          </w:p>
        </w:tc>
        <w:tc>
          <w:tcPr>
            <w:tcW w:w="1030" w:type="dxa"/>
            <w:tcBorders>
              <w:right w:val="single" w:color="auto" w:sz="8" w:space="0"/>
            </w:tcBorders>
            <w:shd w:val="clear" w:color="auto" w:fill="92D050"/>
            <w:vAlign w:val="center"/>
          </w:tcPr>
          <w:p>
            <w:pPr>
              <w:rPr>
                <w:sz w:val="21"/>
                <w:szCs w:val="21"/>
              </w:rPr>
            </w:pPr>
            <w:r>
              <w:rPr>
                <w:sz w:val="21"/>
                <w:szCs w:val="21"/>
              </w:rPr>
              <w:t>ISC-72033</w:t>
            </w:r>
          </w:p>
          <w:p>
            <w:pPr>
              <w:rPr>
                <w:rFonts w:hint="eastAsia" w:ascii="Times New Roman" w:hAnsi="Times New Roman" w:eastAsia="宋体" w:cs="Times New Roman"/>
                <w:sz w:val="18"/>
                <w:szCs w:val="18"/>
                <w:lang w:val="en-US" w:eastAsia="zh-CN"/>
              </w:rPr>
            </w:pPr>
          </w:p>
        </w:tc>
      </w:tr>
    </w:tbl>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DB01B46"/>
    <w:rsid w:val="326F4B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0</TotalTime>
  <ScaleCrop>false</ScaleCrop>
  <LinksUpToDate>false</LinksUpToDate>
  <CharactersWithSpaces>1267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Lenovo</cp:lastModifiedBy>
  <cp:lastPrinted>2019-03-27T03:10:00Z</cp:lastPrinted>
  <dcterms:modified xsi:type="dcterms:W3CDTF">2021-05-19T03:47:32Z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9ADE020F74F841158469A5A021E31715</vt:lpwstr>
  </property>
</Properties>
</file>