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val="en-US" w:eastAsia="zh-CN"/>
        </w:rPr>
        <w:t>管理</w:t>
      </w:r>
      <w:r>
        <w:rPr>
          <w:rFonts w:hint="eastAsia"/>
          <w:sz w:val="24"/>
          <w:szCs w:val="24"/>
        </w:rPr>
        <w:t>层、</w:t>
      </w:r>
      <w:r>
        <w:rPr>
          <w:rFonts w:hint="eastAsia"/>
          <w:sz w:val="24"/>
          <w:szCs w:val="24"/>
          <w:lang w:val="en-US" w:eastAsia="zh-CN"/>
        </w:rPr>
        <w:t>行政</w:t>
      </w:r>
      <w:r>
        <w:rPr>
          <w:rFonts w:hint="eastAsia"/>
          <w:sz w:val="24"/>
          <w:szCs w:val="24"/>
        </w:rPr>
        <w:t>部、</w:t>
      </w:r>
      <w:r>
        <w:rPr>
          <w:rFonts w:hint="eastAsia"/>
          <w:sz w:val="24"/>
          <w:szCs w:val="24"/>
          <w:lang w:val="en-US" w:eastAsia="zh-CN"/>
        </w:rPr>
        <w:t xml:space="preserve">研发部   </w:t>
      </w:r>
    </w:p>
    <w:p>
      <w:pPr>
        <w:spacing w:line="480" w:lineRule="exact"/>
        <w:jc w:val="left"/>
        <w:rPr>
          <w:rFonts w:hint="eastAsia" w:ascii="隶书" w:hAnsi="宋体" w:eastAsia="隶书"/>
          <w:bCs/>
          <w:color w:val="000000"/>
          <w:sz w:val="36"/>
          <w:szCs w:val="36"/>
        </w:rPr>
      </w:pPr>
      <w:r>
        <w:rPr>
          <w:rFonts w:hint="eastAsia"/>
          <w:sz w:val="24"/>
          <w:szCs w:val="24"/>
        </w:rPr>
        <w:t>陪同人员：</w:t>
      </w:r>
      <w:bookmarkStart w:id="0" w:name="联系人"/>
      <w:r>
        <w:rPr>
          <w:rFonts w:hint="eastAsia"/>
          <w:sz w:val="24"/>
          <w:szCs w:val="24"/>
          <w:lang w:eastAsia="zh-CN"/>
        </w:rPr>
        <w:t>王桂渝</w:t>
      </w:r>
      <w:bookmarkEnd w:id="0"/>
      <w:r>
        <w:rPr>
          <w:rFonts w:hint="eastAsia"/>
          <w:sz w:val="24"/>
          <w:szCs w:val="24"/>
          <w:lang w:val="en-US" w:eastAsia="zh-CN"/>
        </w:rPr>
        <w:t xml:space="preserve"> ，  </w:t>
      </w: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审核时间：</w:t>
      </w:r>
      <w:bookmarkStart w:id="1" w:name="审核开始日"/>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w:t>
      </w:r>
      <w:r>
        <w:rPr>
          <w:rFonts w:hint="eastAsia"/>
          <w:color w:val="000000"/>
          <w:szCs w:val="21"/>
        </w:rPr>
        <w:t>日</w:t>
      </w:r>
      <w:bookmarkEnd w:id="1"/>
      <w:r>
        <w:rPr>
          <w:rFonts w:hint="eastAsia"/>
          <w:color w:val="000000"/>
          <w:szCs w:val="21"/>
        </w:rPr>
        <w:t>上午</w:t>
      </w:r>
    </w:p>
    <w:p/>
    <w:tbl>
      <w:tblPr>
        <w:tblStyle w:val="7"/>
        <w:tblW w:w="150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40"/>
        <w:gridCol w:w="145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040"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45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12"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040" w:type="dxa"/>
          </w:tcPr>
          <w:p>
            <w:pPr>
              <w:spacing w:line="400" w:lineRule="exact"/>
              <w:ind w:firstLine="420" w:firstLineChars="200"/>
              <w:jc w:val="left"/>
              <w:rPr>
                <w:rFonts w:hint="eastAsia" w:ascii="宋体" w:hAnsi="宋体" w:eastAsia="宋体" w:cs="宋体"/>
                <w:color w:val="000000"/>
                <w:kern w:val="0"/>
                <w:szCs w:val="21"/>
                <w:lang w:eastAsia="zh-CN"/>
              </w:rPr>
            </w:pPr>
            <w:r>
              <w:rPr>
                <w:rFonts w:hint="eastAsia" w:ascii="宋体" w:hAnsi="宋体"/>
                <w:lang w:eastAsia="zh-CN"/>
              </w:rPr>
              <w:t>成都欧林生物科技股份有限公司创建于2009年，是一家专注于人用疫苗研发和销售聚焦于创新产品的国家高新技术企业。公司秉承“强化过程管理，致力持续改进，追求最高品质”的经营理念，以成为“国际知名、国内领先”的疫苗供应商为发展宗旨</w:t>
            </w:r>
            <w:r>
              <w:rPr>
                <w:rFonts w:hint="eastAsia" w:ascii="宋体" w:hAnsi="宋体" w:eastAsia="宋体" w:cs="宋体"/>
                <w:color w:val="000000"/>
                <w:kern w:val="0"/>
                <w:szCs w:val="21"/>
                <w:lang w:eastAsia="zh-CN"/>
              </w:rPr>
              <w:t>。</w:t>
            </w:r>
            <w:r>
              <w:rPr>
                <w:rFonts w:hint="eastAsia" w:ascii="宋体" w:hAnsi="宋体" w:cs="宋体"/>
                <w:color w:val="000000"/>
                <w:kern w:val="0"/>
                <w:szCs w:val="21"/>
                <w:lang w:val="en-US" w:eastAsia="zh-CN"/>
              </w:rPr>
              <w:t>公司总</w:t>
            </w:r>
            <w:r>
              <w:rPr>
                <w:rFonts w:hint="eastAsia" w:ascii="宋体" w:hAnsi="宋体" w:cs="宋体"/>
                <w:color w:val="000000"/>
                <w:kern w:val="0"/>
                <w:szCs w:val="21"/>
                <w:highlight w:val="none"/>
                <w:lang w:val="en-US" w:eastAsia="zh-CN"/>
              </w:rPr>
              <w:t>人数280人，</w:t>
            </w:r>
            <w:r>
              <w:rPr>
                <w:rFonts w:hint="eastAsia" w:ascii="宋体" w:hAnsi="宋体" w:cs="宋体"/>
                <w:color w:val="000000"/>
                <w:kern w:val="0"/>
                <w:szCs w:val="21"/>
                <w:lang w:val="en-US" w:eastAsia="zh-CN"/>
              </w:rPr>
              <w:t>体系</w:t>
            </w:r>
            <w:r>
              <w:rPr>
                <w:rFonts w:hint="eastAsia" w:ascii="宋体" w:hAnsi="宋体"/>
                <w:szCs w:val="21"/>
                <w:lang w:val="en-US" w:eastAsia="zh-CN"/>
              </w:rPr>
              <w:t>人数21人</w:t>
            </w:r>
            <w:r>
              <w:rPr>
                <w:rFonts w:hint="eastAsia" w:ascii="宋体" w:hAnsi="宋体" w:eastAsia="宋体" w:cs="宋体"/>
                <w:color w:val="000000"/>
                <w:kern w:val="0"/>
                <w:szCs w:val="21"/>
                <w:lang w:val="en-US" w:eastAsia="zh-CN"/>
              </w:rPr>
              <w:t>，目前经营良好</w:t>
            </w:r>
            <w:r>
              <w:rPr>
                <w:rFonts w:hint="eastAsia" w:ascii="宋体" w:hAnsi="宋体" w:eastAsia="宋体" w:cs="宋体"/>
                <w:color w:val="000000"/>
                <w:kern w:val="0"/>
                <w:szCs w:val="21"/>
                <w:lang w:eastAsia="zh-CN"/>
              </w:rPr>
              <w:t>。</w:t>
            </w:r>
          </w:p>
          <w:p>
            <w:pPr>
              <w:spacing w:line="400" w:lineRule="exact"/>
              <w:ind w:firstLine="420" w:firstLineChars="200"/>
              <w:jc w:val="left"/>
              <w:rPr>
                <w:rFonts w:hint="default" w:ascii="宋体" w:hAnsi="宋体"/>
                <w:szCs w:val="21"/>
                <w:lang w:val="en-US" w:eastAsia="zh-CN"/>
              </w:rPr>
            </w:pPr>
            <w:r>
              <w:rPr>
                <w:rFonts w:hint="eastAsia" w:ascii="宋体" w:hAnsi="宋体"/>
                <w:szCs w:val="21"/>
              </w:rPr>
              <w:t>该公司目前成立了</w:t>
            </w:r>
            <w:r>
              <w:rPr>
                <w:rFonts w:hint="eastAsia" w:ascii="宋体" w:hAnsi="宋体"/>
                <w:szCs w:val="21"/>
                <w:lang w:val="en-US" w:eastAsia="zh-CN"/>
              </w:rPr>
              <w:t>五</w:t>
            </w:r>
            <w:r>
              <w:rPr>
                <w:rFonts w:hint="eastAsia" w:ascii="宋体" w:hAnsi="宋体"/>
                <w:szCs w:val="21"/>
              </w:rPr>
              <w:t>个部门：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研发</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市场部、质量检验部、财务部。</w:t>
            </w:r>
          </w:p>
          <w:p>
            <w:pPr>
              <w:spacing w:line="400" w:lineRule="exact"/>
              <w:ind w:firstLine="420" w:firstLineChars="200"/>
              <w:jc w:val="left"/>
              <w:rPr>
                <w:rFonts w:hint="eastAsia" w:ascii="宋体" w:hAnsi="宋体"/>
                <w:szCs w:val="21"/>
                <w:lang w:eastAsia="zh-CN"/>
              </w:rPr>
            </w:pPr>
            <w:r>
              <w:rPr>
                <w:rFonts w:hint="eastAsia" w:ascii="宋体" w:hAnsi="宋体"/>
                <w:szCs w:val="21"/>
                <w:lang w:val="en-US" w:eastAsia="zh-CN"/>
              </w:rPr>
              <w:t>公司申请认证范围：</w:t>
            </w:r>
            <w:r>
              <w:rPr>
                <w:rFonts w:hint="eastAsia" w:ascii="宋体" w:hAnsi="宋体"/>
                <w:szCs w:val="21"/>
              </w:rPr>
              <w:t>吸附破伤风疫苗、b型流感嗜血杆菌结合疫苗的技术研发</w:t>
            </w:r>
            <w:r>
              <w:rPr>
                <w:rFonts w:hint="eastAsia" w:ascii="宋体" w:hAnsi="宋体"/>
                <w:szCs w:val="21"/>
                <w:lang w:eastAsia="zh-CN"/>
              </w:rPr>
              <w:t>。</w:t>
            </w:r>
          </w:p>
          <w:p>
            <w:pPr>
              <w:pStyle w:val="2"/>
              <w:ind w:firstLine="210" w:firstLineChars="1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本次职业健康管理体系认证审核部门为管理层、行政部、</w:t>
            </w:r>
            <w:r>
              <w:rPr>
                <w:rFonts w:hint="eastAsia" w:cs="宋体"/>
                <w:color w:val="000000"/>
                <w:kern w:val="0"/>
                <w:sz w:val="21"/>
                <w:szCs w:val="21"/>
                <w:lang w:val="en-US" w:eastAsia="zh-CN" w:bidi="ar-SA"/>
              </w:rPr>
              <w:t>研发</w:t>
            </w:r>
            <w:r>
              <w:rPr>
                <w:rFonts w:hint="eastAsia" w:ascii="宋体" w:hAnsi="宋体" w:eastAsia="宋体" w:cs="宋体"/>
                <w:color w:val="000000"/>
                <w:kern w:val="0"/>
                <w:sz w:val="21"/>
                <w:szCs w:val="21"/>
                <w:lang w:val="en-US" w:eastAsia="zh-CN" w:bidi="ar-SA"/>
              </w:rPr>
              <w:t>部。</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审核地点为成都高新区天欣路99号。</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核实：经营地址:</w:t>
            </w:r>
            <w:r>
              <w:t xml:space="preserve"> </w:t>
            </w:r>
            <w:r>
              <w:rPr>
                <w:rFonts w:hint="eastAsia" w:ascii="宋体" w:hAnsi="宋体" w:eastAsia="宋体" w:cs="宋体"/>
                <w:color w:val="000000"/>
                <w:kern w:val="0"/>
                <w:sz w:val="21"/>
                <w:szCs w:val="21"/>
                <w:lang w:val="en-US" w:eastAsia="zh-CN" w:bidi="ar-SA"/>
              </w:rPr>
              <w:t>成都高新区天欣路99号</w:t>
            </w:r>
            <w:r>
              <w:rPr>
                <w:rFonts w:hint="eastAsia" w:ascii="宋体" w:hAnsi="宋体"/>
                <w:szCs w:val="21"/>
              </w:rPr>
              <w:t>，与任务书一致。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0" w:lineRule="atLeast"/>
              <w:jc w:val="left"/>
              <w:rPr>
                <w:rFonts w:ascii="宋体" w:hAnsi="宋体"/>
                <w:szCs w:val="21"/>
              </w:rPr>
            </w:pPr>
            <w:r>
              <w:rPr>
                <w:rFonts w:hint="eastAsia" w:ascii="宋体" w:hAnsi="宋体"/>
                <w:szCs w:val="21"/>
              </w:rPr>
              <w:t> OHSMS:</w:t>
            </w:r>
            <w:bookmarkStart w:id="2" w:name="审核范围"/>
            <w:r>
              <w:rPr>
                <w:rFonts w:hint="eastAsia" w:ascii="宋体" w:hAnsi="宋体"/>
                <w:szCs w:val="21"/>
              </w:rPr>
              <w:t>吸附破伤风疫苗、b型流感嗜血杆菌结合疫苗的技术研发</w:t>
            </w:r>
            <w:bookmarkEnd w:id="2"/>
            <w:bookmarkStart w:id="3" w:name="_GoBack"/>
            <w:bookmarkEnd w:id="3"/>
            <w:r>
              <w:rPr>
                <w:rFonts w:hint="eastAsia" w:ascii="宋体" w:hAnsi="宋体"/>
                <w:szCs w:val="21"/>
              </w:rPr>
              <w:t>。</w:t>
            </w:r>
          </w:p>
          <w:p>
            <w:pPr>
              <w:spacing w:line="400" w:lineRule="exact"/>
              <w:ind w:firstLine="420" w:firstLineChars="200"/>
              <w:jc w:val="left"/>
              <w:rPr>
                <w:rFonts w:ascii="宋体" w:hAnsi="宋体" w:cs="宋体"/>
                <w:color w:val="FF0000"/>
                <w:szCs w:val="21"/>
                <w:highlight w:val="none"/>
              </w:rPr>
            </w:pPr>
            <w:r>
              <w:rPr>
                <w:rFonts w:hint="eastAsia" w:ascii="宋体" w:hAnsi="宋体"/>
                <w:szCs w:val="21"/>
              </w:rPr>
              <w:t>询</w:t>
            </w:r>
            <w:r>
              <w:rPr>
                <w:rFonts w:hint="eastAsia" w:ascii="宋体" w:hAnsi="宋体" w:eastAsia="宋体" w:cs="宋体"/>
                <w:szCs w:val="21"/>
                <w:highlight w:val="none"/>
              </w:rPr>
              <w:t>问，主要设备为</w:t>
            </w:r>
            <w:r>
              <w:rPr>
                <w:rFonts w:hint="eastAsia" w:ascii="宋体" w:hAnsi="宋体" w:cs="宋体"/>
                <w:szCs w:val="21"/>
                <w:highlight w:val="none"/>
                <w:lang w:val="en-US" w:eastAsia="zh-CN"/>
              </w:rPr>
              <w:t>生物安全柜、培养箱、发酵罐、种子罐、灭菌柜和电脑及</w:t>
            </w:r>
            <w:r>
              <w:rPr>
                <w:rFonts w:hint="eastAsia" w:ascii="宋体" w:hAnsi="宋体" w:cs="宋体"/>
                <w:szCs w:val="21"/>
                <w:highlight w:val="none"/>
              </w:rPr>
              <w:t>办公设备等，关键过程：</w:t>
            </w:r>
            <w:r>
              <w:rPr>
                <w:rFonts w:hint="eastAsia" w:ascii="宋体" w:hAnsi="宋体" w:cs="宋体"/>
                <w:szCs w:val="21"/>
                <w:highlight w:val="none"/>
                <w:lang w:val="en-US" w:eastAsia="zh-CN"/>
              </w:rPr>
              <w:t>发酵</w:t>
            </w:r>
            <w:r>
              <w:rPr>
                <w:rFonts w:hint="eastAsia" w:ascii="宋体" w:hAnsi="宋体" w:cs="宋体"/>
                <w:szCs w:val="21"/>
                <w:highlight w:val="none"/>
                <w:lang w:eastAsia="zh-CN"/>
              </w:rPr>
              <w:t>、</w:t>
            </w:r>
            <w:r>
              <w:rPr>
                <w:rFonts w:hint="eastAsia" w:ascii="宋体" w:hAnsi="宋体" w:cs="宋体"/>
                <w:szCs w:val="21"/>
                <w:highlight w:val="none"/>
                <w:lang w:val="en-US" w:eastAsia="zh-CN"/>
              </w:rPr>
              <w:t>离心、纯化</w:t>
            </w:r>
            <w:r>
              <w:rPr>
                <w:rFonts w:hint="eastAsia" w:ascii="宋体" w:hAnsi="宋体" w:cs="宋体"/>
                <w:szCs w:val="21"/>
                <w:highlight w:val="none"/>
              </w:rPr>
              <w:t>过程。查体系运行时间：20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eastAsia="宋体" w:cs="宋体"/>
                <w:color w:val="000000"/>
                <w:kern w:val="0"/>
                <w:sz w:val="21"/>
                <w:szCs w:val="21"/>
                <w:lang w:val="en-US" w:eastAsia="zh-CN" w:bidi="ar-SA"/>
              </w:rPr>
              <w:t>行政部、</w:t>
            </w:r>
            <w:r>
              <w:rPr>
                <w:rFonts w:hint="eastAsia" w:cs="宋体"/>
                <w:color w:val="000000"/>
                <w:kern w:val="0"/>
                <w:sz w:val="21"/>
                <w:szCs w:val="21"/>
                <w:lang w:val="en-US" w:eastAsia="zh-CN" w:bidi="ar-SA"/>
              </w:rPr>
              <w:t>研发</w:t>
            </w:r>
            <w:r>
              <w:rPr>
                <w:rFonts w:hint="eastAsia" w:ascii="宋体" w:hAnsi="宋体" w:eastAsia="宋体" w:cs="宋体"/>
                <w:color w:val="000000"/>
                <w:kern w:val="0"/>
                <w:sz w:val="21"/>
                <w:szCs w:val="21"/>
                <w:lang w:val="en-US" w:eastAsia="zh-CN" w:bidi="ar-SA"/>
              </w:rPr>
              <w:t>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w:t>
            </w:r>
            <w:r>
              <w:rPr>
                <w:rFonts w:hint="eastAsia" w:ascii="宋体" w:hAnsi="宋体"/>
                <w:szCs w:val="21"/>
                <w:lang w:val="en-US" w:eastAsia="zh-CN"/>
              </w:rPr>
              <w:t>研发</w:t>
            </w:r>
            <w:r>
              <w:rPr>
                <w:rFonts w:hint="eastAsia" w:ascii="宋体" w:hAnsi="宋体"/>
                <w:szCs w:val="21"/>
              </w:rPr>
              <w:t>工艺流程》</w:t>
            </w:r>
          </w:p>
          <w:p>
            <w:pPr>
              <w:spacing w:line="440" w:lineRule="exact"/>
              <w:ind w:firstLine="525" w:firstLineChars="250"/>
              <w:rPr>
                <w:rFonts w:ascii="宋体" w:hAnsi="宋体"/>
                <w:color w:val="000000"/>
                <w:szCs w:val="21"/>
              </w:rPr>
            </w:pPr>
          </w:p>
          <w:p>
            <w:pPr>
              <w:spacing w:line="440" w:lineRule="exact"/>
              <w:ind w:firstLine="525" w:firstLineChars="250"/>
              <w:rPr>
                <w:rFonts w:ascii="宋体" w:hAnsi="宋体"/>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管理</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22</w:t>
            </w:r>
            <w:r>
              <w:rPr>
                <w:rFonts w:hint="eastAsia" w:ascii="宋体" w:hAnsi="宋体"/>
                <w:kern w:val="44"/>
                <w:szCs w:val="21"/>
              </w:rPr>
              <w:t>个（按质量、环境和职业健康安全一起策划的）。</w:t>
            </w:r>
          </w:p>
        </w:tc>
        <w:tc>
          <w:tcPr>
            <w:tcW w:w="1452" w:type="dxa"/>
            <w:vAlign w:val="top"/>
          </w:tcPr>
          <w:p>
            <w:pPr>
              <w:adjustRightInd w:val="0"/>
              <w:snapToGrid w:val="0"/>
              <w:rPr>
                <w:rFonts w:ascii="宋体" w:hAnsi="宋体" w:cs="宋体"/>
                <w:szCs w:val="21"/>
              </w:rPr>
            </w:pPr>
            <w:r>
              <w:rPr>
                <w:rFonts w:hint="eastAsia" w:ascii="宋体" w:hAnsi="宋体"/>
                <w:szCs w:val="21"/>
              </w:rPr>
              <w:t>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c>
          <w:tcPr>
            <w:tcW w:w="912"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安评报告及安评验收</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执行的安全法规（OHSMS）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合规性评价报告 </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职业健康相关监测报告（OHSMS）</w:t>
            </w:r>
          </w:p>
        </w:tc>
        <w:tc>
          <w:tcPr>
            <w:tcW w:w="9040" w:type="dxa"/>
          </w:tcPr>
          <w:p>
            <w:pPr>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中华人民共和国合同法、中华人民共和国劳动法、中华人民共和国安全消防法、中华人民共和国劳动合同法、</w:t>
            </w:r>
            <w:r>
              <w:rPr>
                <w:rFonts w:ascii="宋体" w:hAnsi="宋体"/>
                <w:szCs w:val="21"/>
              </w:rPr>
              <w:t>中华人民共和国产品质量法</w:t>
            </w:r>
            <w:r>
              <w:rPr>
                <w:rFonts w:hint="eastAsia" w:ascii="宋体" w:hAnsi="宋体"/>
                <w:szCs w:val="21"/>
              </w:rPr>
              <w:t>、中华人民共和国安全生产法等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rPr>
                <w:rFonts w:ascii="宋体" w:hAnsi="宋体"/>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rFonts w:ascii="宋体" w:hAnsi="宋体"/>
                <w:szCs w:val="21"/>
              </w:rPr>
            </w:pPr>
          </w:p>
          <w:p>
            <w:pPr>
              <w:spacing w:line="400" w:lineRule="exact"/>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日进行了合规性评价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tc>
        <w:tc>
          <w:tcPr>
            <w:tcW w:w="1452" w:type="dxa"/>
            <w:vAlign w:val="top"/>
          </w:tcPr>
          <w:p>
            <w:pPr>
              <w:adjustRightInd w:val="0"/>
              <w:snapToGrid w:val="0"/>
              <w:rPr>
                <w:rFonts w:ascii="宋体" w:hAnsi="宋体" w:cs="宋体"/>
                <w:szCs w:val="21"/>
              </w:rPr>
            </w:pPr>
            <w:r>
              <w:rPr>
                <w:rFonts w:hint="eastAsia" w:ascii="宋体" w:hAnsi="宋体"/>
                <w:szCs w:val="21"/>
              </w:rPr>
              <w:t>S:6.1.3、9.1.2</w:t>
            </w:r>
          </w:p>
          <w:p>
            <w:pPr>
              <w:spacing w:line="440" w:lineRule="exact"/>
              <w:jc w:val="center"/>
              <w:rPr>
                <w:rFonts w:ascii="宋体" w:hAnsi="宋体" w:eastAsia="宋体" w:cs="Times New Roman"/>
                <w:kern w:val="2"/>
                <w:sz w:val="21"/>
                <w:szCs w:val="21"/>
                <w:lang w:val="en-US" w:eastAsia="zh-CN" w:bidi="ar-SA"/>
              </w:rPr>
            </w:pPr>
          </w:p>
        </w:tc>
        <w:tc>
          <w:tcPr>
            <w:tcW w:w="912"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不可接受风险（OHSMS）</w:t>
            </w:r>
          </w:p>
        </w:tc>
        <w:tc>
          <w:tcPr>
            <w:tcW w:w="9040" w:type="dxa"/>
          </w:tcPr>
          <w:p>
            <w:pPr>
              <w:tabs>
                <w:tab w:val="left" w:pos="1950"/>
              </w:tabs>
              <w:rPr>
                <w:rFonts w:hint="eastAsia"/>
              </w:rPr>
            </w:pPr>
            <w:r>
              <w:rPr>
                <w:rFonts w:hint="eastAsia"/>
                <w:lang w:val="en-US" w:eastAsia="zh-CN"/>
              </w:rPr>
              <w:t>研发</w:t>
            </w:r>
            <w:r>
              <w:rPr>
                <w:rFonts w:hint="eastAsia"/>
              </w:rPr>
              <w:t>流程：</w:t>
            </w:r>
          </w:p>
          <w:p>
            <w:pPr>
              <w:spacing w:line="360" w:lineRule="auto"/>
              <w:jc w:val="left"/>
              <w:rPr>
                <w:rFonts w:hint="eastAsia" w:ascii="宋体" w:hAnsi="宋体" w:eastAsia="宋体"/>
                <w:color w:val="000000"/>
                <w:kern w:val="0"/>
                <w:szCs w:val="21"/>
                <w:lang w:eastAsia="zh-CN"/>
              </w:rPr>
            </w:pPr>
            <w:r>
              <w:rPr>
                <w:rFonts w:hint="eastAsia" w:ascii="宋体" w:hAnsi="宋体"/>
                <w:color w:val="000000"/>
                <w:kern w:val="0"/>
                <w:szCs w:val="21"/>
              </w:rPr>
              <w:t>根据市场需求或客户要求→下达设计任务书→编制设计计划→设计输入→设计评审→设计验证→设计输出→设计确认</w:t>
            </w:r>
            <w:r>
              <w:rPr>
                <w:rFonts w:hint="eastAsia" w:ascii="宋体" w:hAnsi="宋体"/>
                <w:color w:val="000000"/>
                <w:kern w:val="0"/>
                <w:szCs w:val="21"/>
                <w:lang w:eastAsia="zh-CN"/>
              </w:rPr>
              <w:t>。</w:t>
            </w:r>
          </w:p>
          <w:p>
            <w:pPr>
              <w:spacing w:line="400" w:lineRule="exact"/>
              <w:rPr>
                <w:rFonts w:hint="eastAsia"/>
                <w:lang w:val="en-US" w:eastAsia="zh-CN"/>
              </w:rPr>
            </w:pPr>
            <w:r>
              <w:rPr>
                <w:rFonts w:hint="eastAsia"/>
                <w:lang w:val="en-US" w:eastAsia="zh-CN"/>
              </w:rPr>
              <w:t>无</w:t>
            </w:r>
          </w:p>
          <w:p>
            <w:pPr>
              <w:tabs>
                <w:tab w:val="left" w:pos="1080"/>
              </w:tabs>
              <w:spacing w:line="400" w:lineRule="exact"/>
            </w:pPr>
          </w:p>
          <w:p>
            <w:pPr>
              <w:pStyle w:val="2"/>
              <w:rPr>
                <w:rFonts w:hint="default" w:eastAsia="宋体"/>
                <w:lang w:val="en-US" w:eastAsia="zh-CN"/>
              </w:rPr>
            </w:pPr>
            <w:r>
              <w:rPr>
                <w:rFonts w:hint="eastAsia" w:ascii="Times New Roman" w:hAnsi="Times New Roman" w:eastAsia="宋体" w:cs="Times New Roman"/>
                <w:color w:val="auto"/>
                <w:kern w:val="2"/>
                <w:sz w:val="21"/>
                <w:szCs w:val="22"/>
                <w:highlight w:val="none"/>
                <w:lang w:val="en-US" w:eastAsia="zh-CN" w:bidi="ar-SA"/>
              </w:rPr>
              <w:t>1）火灾；2）</w:t>
            </w:r>
            <w:r>
              <w:rPr>
                <w:rFonts w:hint="eastAsia" w:ascii="Times New Roman" w:hAnsi="Times New Roman" w:cs="Times New Roman"/>
                <w:color w:val="auto"/>
                <w:kern w:val="2"/>
                <w:sz w:val="21"/>
                <w:szCs w:val="22"/>
                <w:highlight w:val="none"/>
                <w:lang w:val="en-US" w:eastAsia="zh-CN" w:bidi="ar-SA"/>
              </w:rPr>
              <w:t>车辆</w:t>
            </w:r>
            <w:r>
              <w:rPr>
                <w:rFonts w:hint="eastAsia" w:ascii="Times New Roman" w:hAnsi="Times New Roman" w:eastAsia="宋体" w:cs="Times New Roman"/>
                <w:color w:val="auto"/>
                <w:kern w:val="2"/>
                <w:sz w:val="21"/>
                <w:szCs w:val="22"/>
                <w:highlight w:val="none"/>
                <w:lang w:val="en-US" w:eastAsia="zh-CN" w:bidi="ar-SA"/>
              </w:rPr>
              <w:t>伤害</w:t>
            </w:r>
            <w:r>
              <w:rPr>
                <w:rFonts w:hint="eastAsia" w:ascii="Times New Roman" w:hAnsi="Times New Roman" w:cs="Times New Roman"/>
                <w:color w:val="auto"/>
                <w:kern w:val="2"/>
                <w:sz w:val="21"/>
                <w:szCs w:val="22"/>
                <w:highlight w:val="none"/>
                <w:lang w:val="en-US" w:eastAsia="zh-CN" w:bidi="ar-SA"/>
              </w:rPr>
              <w:t>；3）中毒或窒息</w:t>
            </w:r>
            <w:r>
              <w:rPr>
                <w:rFonts w:hint="eastAsia" w:ascii="Times New Roman" w:hAnsi="Times New Roman" w:eastAsia="宋体" w:cs="Times New Roman"/>
                <w:color w:val="auto"/>
                <w:kern w:val="2"/>
                <w:sz w:val="21"/>
                <w:szCs w:val="22"/>
                <w:highlight w:val="none"/>
                <w:lang w:val="en-US" w:eastAsia="zh-CN" w:bidi="ar-SA"/>
              </w:rPr>
              <w:t>。</w:t>
            </w:r>
          </w:p>
        </w:tc>
        <w:tc>
          <w:tcPr>
            <w:tcW w:w="1452" w:type="dxa"/>
            <w:vAlign w:val="top"/>
          </w:tcPr>
          <w:p>
            <w:pPr>
              <w:adjustRightInd w:val="0"/>
              <w:snapToGrid w:val="0"/>
              <w:rPr>
                <w:rFonts w:ascii="宋体" w:hAnsi="宋体"/>
                <w:szCs w:val="21"/>
              </w:rPr>
            </w:pPr>
            <w:r>
              <w:rPr>
                <w:rFonts w:hint="eastAsia" w:ascii="宋体" w:hAnsi="宋体"/>
                <w:szCs w:val="21"/>
              </w:rPr>
              <w:t>S:8.1、8.2;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S;6.1.2;</w:t>
            </w:r>
          </w:p>
        </w:tc>
        <w:tc>
          <w:tcPr>
            <w:tcW w:w="912"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687" w:type="dxa"/>
          </w:tcPr>
          <w:p>
            <w:pPr>
              <w:spacing w:line="400" w:lineRule="exact"/>
              <w:rPr>
                <w:rFonts w:ascii="宋体" w:hAnsi="宋体"/>
                <w:szCs w:val="21"/>
                <w:u w:val="single"/>
              </w:rPr>
            </w:pPr>
            <w:r>
              <w:rPr>
                <w:rFonts w:hint="eastAsia" w:ascii="宋体" w:hAnsi="宋体"/>
                <w:szCs w:val="21"/>
                <w:u w:val="single"/>
                <w:lang w:val="en-US" w:eastAsia="zh-CN"/>
              </w:rPr>
              <w:t>体系</w:t>
            </w:r>
            <w:r>
              <w:rPr>
                <w:rFonts w:hint="eastAsia" w:ascii="宋体" w:hAnsi="宋体"/>
                <w:szCs w:val="21"/>
                <w:u w:val="single"/>
              </w:rPr>
              <w:t>人数</w:t>
            </w:r>
          </w:p>
          <w:p>
            <w:pPr>
              <w:spacing w:line="400" w:lineRule="exact"/>
              <w:rPr>
                <w:rFonts w:ascii="宋体" w:hAnsi="宋体"/>
                <w:szCs w:val="21"/>
                <w:u w:val="single"/>
              </w:rPr>
            </w:pP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040" w:type="dxa"/>
          </w:tcPr>
          <w:p>
            <w:pPr>
              <w:spacing w:line="400" w:lineRule="exact"/>
              <w:rPr>
                <w:rFonts w:ascii="宋体" w:hAnsi="宋体"/>
                <w:szCs w:val="21"/>
              </w:rPr>
            </w:pPr>
            <w:r>
              <w:rPr>
                <w:rFonts w:hint="eastAsia" w:ascii="宋体" w:hAnsi="宋体"/>
                <w:szCs w:val="21"/>
                <w:lang w:val="en-US" w:eastAsia="zh-CN"/>
              </w:rPr>
              <w:t>21</w:t>
            </w:r>
            <w:r>
              <w:rPr>
                <w:rFonts w:hint="eastAsia" w:ascii="宋体" w:hAnsi="宋体"/>
                <w:szCs w:val="21"/>
              </w:rPr>
              <w:t>人</w:t>
            </w:r>
          </w:p>
          <w:p>
            <w:pPr>
              <w:spacing w:line="400" w:lineRule="exact"/>
              <w:rPr>
                <w:rFonts w:ascii="宋体" w:hAnsi="宋体"/>
                <w:szCs w:val="21"/>
              </w:rPr>
            </w:pPr>
          </w:p>
          <w:p>
            <w:pPr>
              <w:spacing w:line="400" w:lineRule="exact"/>
              <w:rPr>
                <w:rFonts w:ascii="宋体" w:hAnsi="宋体"/>
                <w:szCs w:val="21"/>
                <w:highlight w:val="none"/>
              </w:rPr>
            </w:pPr>
            <w:r>
              <w:rPr>
                <w:rFonts w:hint="eastAsia" w:ascii="宋体" w:hAnsi="宋体"/>
                <w:szCs w:val="21"/>
                <w:highlight w:val="none"/>
                <w:lang w:val="en-US" w:eastAsia="zh-CN"/>
              </w:rPr>
              <w:t>研发人员</w:t>
            </w:r>
          </w:p>
          <w:p>
            <w:pPr>
              <w:spacing w:line="400" w:lineRule="exact"/>
              <w:rPr>
                <w:rFonts w:hint="eastAsia" w:ascii="宋体" w:hAnsi="宋体" w:eastAsia="宋体"/>
                <w:szCs w:val="21"/>
                <w:lang w:eastAsia="zh-CN"/>
              </w:rPr>
            </w:pPr>
            <w:r>
              <w:rPr>
                <w:rFonts w:hint="eastAsia" w:ascii="宋体" w:hAnsi="宋体"/>
                <w:szCs w:val="21"/>
                <w:lang w:val="en-US" w:eastAsia="zh-CN"/>
              </w:rPr>
              <w:t>电工</w:t>
            </w:r>
          </w:p>
        </w:tc>
        <w:tc>
          <w:tcPr>
            <w:tcW w:w="145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S:7.2</w:t>
            </w:r>
          </w:p>
        </w:tc>
        <w:tc>
          <w:tcPr>
            <w:tcW w:w="912"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特种设备</w:t>
            </w: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r>
              <w:rPr>
                <w:rFonts w:hint="eastAsia" w:ascii="宋体" w:hAnsi="宋体"/>
                <w:szCs w:val="21"/>
              </w:rPr>
              <w:t>安全监测设备（OHSMS）</w:t>
            </w:r>
          </w:p>
        </w:tc>
        <w:tc>
          <w:tcPr>
            <w:tcW w:w="9040" w:type="dxa"/>
          </w:tcPr>
          <w:p>
            <w:pPr>
              <w:spacing w:line="400" w:lineRule="exact"/>
              <w:rPr>
                <w:rFonts w:ascii="宋体" w:hAnsi="宋体"/>
                <w:color w:val="FF0000"/>
                <w:szCs w:val="21"/>
              </w:rPr>
            </w:pPr>
            <w:r>
              <w:rPr>
                <w:rFonts w:hint="eastAsia" w:ascii="宋体" w:hAnsi="宋体" w:cs="宋体"/>
                <w:szCs w:val="21"/>
                <w:highlight w:val="none"/>
                <w:lang w:val="en-US" w:eastAsia="zh-CN"/>
              </w:rPr>
              <w:t>生物安全柜、培养箱、发酵罐、种子罐、灭菌柜和电脑及</w:t>
            </w:r>
            <w:r>
              <w:rPr>
                <w:rFonts w:hint="eastAsia" w:ascii="宋体" w:hAnsi="宋体" w:cs="宋体"/>
                <w:szCs w:val="21"/>
                <w:highlight w:val="none"/>
              </w:rPr>
              <w:t>办公设备等</w:t>
            </w:r>
          </w:p>
          <w:p>
            <w:pPr>
              <w:spacing w:line="400" w:lineRule="exact"/>
              <w:rPr>
                <w:rFonts w:hint="eastAsia" w:ascii="宋体" w:hAnsi="宋体"/>
                <w:szCs w:val="21"/>
                <w:lang w:val="en-US" w:eastAsia="zh-CN"/>
              </w:rPr>
            </w:pPr>
          </w:p>
          <w:p>
            <w:pPr>
              <w:spacing w:line="400" w:lineRule="exact"/>
              <w:rPr>
                <w:rFonts w:hint="eastAsia" w:ascii="宋体" w:hAnsi="宋体" w:eastAsia="宋体"/>
                <w:szCs w:val="21"/>
                <w:lang w:eastAsia="zh-CN"/>
              </w:rPr>
            </w:pPr>
            <w:r>
              <w:rPr>
                <w:rFonts w:hint="eastAsia" w:ascii="宋体" w:hAnsi="宋体"/>
                <w:szCs w:val="21"/>
                <w:lang w:val="en-US" w:eastAsia="zh-CN"/>
              </w:rPr>
              <w:t>无</w:t>
            </w:r>
          </w:p>
          <w:p>
            <w:pPr>
              <w:spacing w:line="400" w:lineRule="exact"/>
              <w:rPr>
                <w:rFonts w:ascii="宋体" w:hAnsi="宋体"/>
                <w:szCs w:val="21"/>
              </w:rPr>
            </w:pPr>
            <w:r>
              <w:rPr>
                <w:rFonts w:hint="eastAsia" w:ascii="宋体" w:hAnsi="宋体"/>
                <w:szCs w:val="21"/>
              </w:rPr>
              <w:t>配电箱、空开、消防栓、灭火器</w:t>
            </w:r>
            <w:r>
              <w:rPr>
                <w:rFonts w:hint="eastAsia" w:ascii="宋体" w:hAnsi="宋体"/>
                <w:szCs w:val="21"/>
                <w:lang w:eastAsia="zh-CN"/>
              </w:rPr>
              <w:t>、</w:t>
            </w:r>
            <w:r>
              <w:rPr>
                <w:rFonts w:hint="eastAsia" w:ascii="宋体" w:hAnsi="宋体"/>
                <w:szCs w:val="21"/>
                <w:lang w:val="en-US" w:eastAsia="zh-CN"/>
              </w:rPr>
              <w:t>防护服、防毒口罩</w:t>
            </w:r>
            <w:r>
              <w:rPr>
                <w:rFonts w:hint="eastAsia" w:ascii="宋体" w:hAnsi="宋体"/>
                <w:szCs w:val="21"/>
              </w:rPr>
              <w:t>等</w:t>
            </w:r>
          </w:p>
          <w:p>
            <w:pPr>
              <w:spacing w:line="400" w:lineRule="exact"/>
              <w:rPr>
                <w:rFonts w:ascii="宋体" w:hAnsi="宋体"/>
                <w:szCs w:val="21"/>
              </w:rPr>
            </w:pPr>
            <w:r>
              <w:rPr>
                <w:rFonts w:hint="eastAsia" w:ascii="宋体" w:hAnsi="宋体"/>
                <w:szCs w:val="21"/>
              </w:rPr>
              <w:t>无</w:t>
            </w:r>
          </w:p>
        </w:tc>
        <w:tc>
          <w:tcPr>
            <w:tcW w:w="1452" w:type="dxa"/>
          </w:tcPr>
          <w:p>
            <w:pPr>
              <w:spacing w:line="440" w:lineRule="exact"/>
              <w:jc w:val="left"/>
              <w:rPr>
                <w:rFonts w:ascii="宋体" w:hAnsi="宋体"/>
                <w:szCs w:val="21"/>
              </w:rPr>
            </w:pPr>
            <w:r>
              <w:rPr>
                <w:rFonts w:hint="eastAsia" w:ascii="宋体" w:hAnsi="宋体"/>
                <w:szCs w:val="21"/>
              </w:rPr>
              <w:t>S:7.1</w:t>
            </w:r>
          </w:p>
          <w:p>
            <w:pPr>
              <w:spacing w:line="440" w:lineRule="exact"/>
              <w:jc w:val="both"/>
              <w:rPr>
                <w:rFonts w:ascii="宋体" w:hAnsi="宋体"/>
                <w:color w:val="92D050"/>
                <w:szCs w:val="21"/>
              </w:rPr>
            </w:pPr>
          </w:p>
          <w:p>
            <w:pPr>
              <w:spacing w:line="440" w:lineRule="exact"/>
              <w:jc w:val="center"/>
              <w:rPr>
                <w:rFonts w:ascii="宋体" w:hAnsi="宋体"/>
                <w:color w:val="92D050"/>
                <w:szCs w:val="21"/>
              </w:rPr>
            </w:pPr>
          </w:p>
        </w:tc>
        <w:tc>
          <w:tcPr>
            <w:tcW w:w="912" w:type="dxa"/>
          </w:tcPr>
          <w:p>
            <w:pPr>
              <w:spacing w:line="44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符合</w:t>
            </w:r>
          </w:p>
          <w:p>
            <w:pPr>
              <w:spacing w:line="440" w:lineRule="exact"/>
              <w:jc w:val="center"/>
              <w:rPr>
                <w:rFonts w:ascii="宋体" w:hAnsi="宋体"/>
                <w:color w:val="92D050"/>
                <w:szCs w:val="21"/>
              </w:rPr>
            </w:pPr>
          </w:p>
          <w:p>
            <w:pPr>
              <w:spacing w:line="440" w:lineRule="exact"/>
              <w:jc w:val="both"/>
              <w:rPr>
                <w:rFonts w:ascii="宋体" w:hAnsi="宋体"/>
                <w:color w:val="92D05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3687" w:type="dxa"/>
          </w:tcPr>
          <w:p>
            <w:pPr>
              <w:spacing w:line="400" w:lineRule="exact"/>
              <w:rPr>
                <w:rFonts w:ascii="宋体" w:hAnsi="宋体"/>
                <w:szCs w:val="21"/>
              </w:rPr>
            </w:pPr>
            <w:r>
              <w:rPr>
                <w:rFonts w:hint="eastAsia" w:ascii="宋体" w:hAnsi="宋体"/>
                <w:szCs w:val="21"/>
              </w:rPr>
              <w:t>高处作业、高粉尘作业、机械加工、压力容器操作、有毒化学品车间、危险化学品仓库和储存罐区等高风险作业场所</w:t>
            </w:r>
          </w:p>
        </w:tc>
        <w:tc>
          <w:tcPr>
            <w:tcW w:w="9040" w:type="dxa"/>
          </w:tcPr>
          <w:p>
            <w:pPr>
              <w:spacing w:line="400" w:lineRule="exact"/>
              <w:rPr>
                <w:rFonts w:ascii="宋体" w:hAnsi="宋体"/>
                <w:szCs w:val="21"/>
              </w:rPr>
            </w:pPr>
            <w:r>
              <w:rPr>
                <w:rFonts w:hint="eastAsia"/>
                <w:szCs w:val="21"/>
                <w:lang w:val="en-US" w:eastAsia="zh-CN"/>
              </w:rPr>
              <w:t>无</w:t>
            </w:r>
            <w:r>
              <w:rPr>
                <w:rFonts w:hint="eastAsia"/>
                <w:szCs w:val="21"/>
              </w:rPr>
              <w:t>高风险作业场所</w:t>
            </w:r>
          </w:p>
        </w:tc>
        <w:tc>
          <w:tcPr>
            <w:tcW w:w="1452" w:type="dxa"/>
          </w:tcPr>
          <w:p>
            <w:pPr>
              <w:spacing w:line="440" w:lineRule="exact"/>
              <w:jc w:val="center"/>
              <w:rPr>
                <w:rFonts w:ascii="宋体" w:hAnsi="宋体"/>
                <w:szCs w:val="21"/>
              </w:rPr>
            </w:pPr>
          </w:p>
        </w:tc>
        <w:tc>
          <w:tcPr>
            <w:tcW w:w="91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040" w:type="dxa"/>
          </w:tcPr>
          <w:p>
            <w:pPr>
              <w:spacing w:line="400" w:lineRule="exact"/>
              <w:rPr>
                <w:rFonts w:ascii="宋体" w:hAnsi="宋体"/>
                <w:szCs w:val="21"/>
              </w:rPr>
            </w:pPr>
            <w:r>
              <w:rPr>
                <w:rFonts w:hint="eastAsia" w:ascii="宋体" w:hAnsi="宋体"/>
                <w:szCs w:val="21"/>
              </w:rPr>
              <w:t>暂无</w:t>
            </w:r>
          </w:p>
        </w:tc>
        <w:tc>
          <w:tcPr>
            <w:tcW w:w="1452" w:type="dxa"/>
          </w:tcPr>
          <w:p>
            <w:pPr>
              <w:spacing w:line="440" w:lineRule="exact"/>
              <w:jc w:val="center"/>
              <w:rPr>
                <w:rFonts w:ascii="宋体" w:hAnsi="宋体"/>
                <w:szCs w:val="21"/>
              </w:rPr>
            </w:pPr>
          </w:p>
        </w:tc>
        <w:tc>
          <w:tcPr>
            <w:tcW w:w="91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040" w:type="dxa"/>
          </w:tcPr>
          <w:p>
            <w:pPr>
              <w:jc w:val="left"/>
              <w:rPr>
                <w:rFonts w:ascii="宋体" w:hAnsi="宋体" w:cs="宋体"/>
                <w:szCs w:val="21"/>
              </w:rPr>
            </w:pPr>
            <w:r>
              <w:rPr>
                <w:rFonts w:hint="eastAsia" w:ascii="宋体" w:hAnsi="宋体" w:cs="宋体"/>
                <w:szCs w:val="21"/>
                <w:lang w:val="en-US" w:eastAsia="zh-CN"/>
              </w:rPr>
              <w:t>质量、环境和</w:t>
            </w:r>
            <w:r>
              <w:rPr>
                <w:rFonts w:hint="eastAsia" w:ascii="宋体" w:hAnsi="宋体" w:cs="宋体"/>
                <w:szCs w:val="21"/>
              </w:rPr>
              <w:t xml:space="preserve">职业健康安全管理方针： </w:t>
            </w:r>
          </w:p>
          <w:p>
            <w:pPr>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产品为人类造福、创行业标杆型企业；节能降耗、保护环境；遵纪守法安全生产、</w:t>
            </w:r>
            <w:r>
              <w:rPr>
                <w:rFonts w:hint="default" w:ascii="宋体" w:hAnsi="宋体" w:cs="宋体"/>
                <w:szCs w:val="21"/>
                <w:lang w:val="en-US" w:eastAsia="zh-CN"/>
              </w:rPr>
              <w:t>关爱员工身心健康</w:t>
            </w:r>
            <w:r>
              <w:rPr>
                <w:rFonts w:hint="eastAsia" w:ascii="宋体" w:hAnsi="宋体" w:cs="宋体"/>
                <w:szCs w:val="21"/>
                <w:lang w:val="en-US" w:eastAsia="zh-CN"/>
              </w:rPr>
              <w:t>、</w:t>
            </w:r>
            <w:r>
              <w:rPr>
                <w:rFonts w:hint="default" w:ascii="宋体" w:hAnsi="宋体" w:cs="宋体"/>
                <w:szCs w:val="21"/>
                <w:lang w:val="en-US" w:eastAsia="zh-CN"/>
              </w:rPr>
              <w:t>群策群力持续改进</w:t>
            </w:r>
            <w:r>
              <w:rPr>
                <w:rFonts w:hint="eastAsia" w:ascii="宋体" w:hAnsi="宋体" w:cs="宋体"/>
                <w:szCs w:val="21"/>
              </w:rPr>
              <w:t>”。</w:t>
            </w:r>
          </w:p>
          <w:p>
            <w:pPr>
              <w:spacing w:line="360" w:lineRule="auto"/>
              <w:jc w:val="left"/>
              <w:rPr>
                <w:rFonts w:ascii="宋体" w:hAnsi="宋体" w:cs="宋体"/>
                <w:bCs/>
                <w:szCs w:val="21"/>
              </w:rPr>
            </w:pPr>
            <w:r>
              <w:rPr>
                <w:rFonts w:hint="eastAsia" w:ascii="宋体" w:hAnsi="宋体" w:cs="宋体"/>
                <w:bCs/>
                <w:szCs w:val="21"/>
              </w:rPr>
              <w:t>职业健康安全目标</w:t>
            </w:r>
          </w:p>
          <w:p>
            <w:pPr>
              <w:pStyle w:val="3"/>
              <w:spacing w:line="360" w:lineRule="auto"/>
              <w:ind w:firstLine="480"/>
              <w:rPr>
                <w:rFonts w:hAnsi="宋体" w:cs="宋体"/>
                <w:bCs/>
              </w:rPr>
            </w:pPr>
            <w:r>
              <w:rPr>
                <w:rFonts w:hint="eastAsia" w:hAnsi="宋体" w:cs="宋体"/>
                <w:bCs/>
              </w:rPr>
              <w:t>1、</w:t>
            </w:r>
            <w:r>
              <w:rPr>
                <w:rFonts w:hint="eastAsia" w:hAnsi="宋体" w:cs="宋体"/>
                <w:bCs/>
                <w:lang w:val="en-US" w:eastAsia="zh-CN"/>
              </w:rPr>
              <w:t>火灾事故为零</w:t>
            </w:r>
            <w:r>
              <w:rPr>
                <w:rFonts w:hint="eastAsia" w:hAnsi="宋体" w:cs="宋体"/>
                <w:bCs/>
              </w:rPr>
              <w:t>；</w:t>
            </w:r>
          </w:p>
          <w:p>
            <w:pPr>
              <w:pStyle w:val="3"/>
              <w:spacing w:line="360" w:lineRule="auto"/>
              <w:ind w:firstLine="480"/>
              <w:rPr>
                <w:rFonts w:hint="eastAsia" w:hAnsi="宋体" w:cs="宋体"/>
                <w:bCs/>
                <w:lang w:val="en-US" w:eastAsia="zh-CN"/>
              </w:rPr>
            </w:pPr>
            <w:r>
              <w:rPr>
                <w:rFonts w:hint="eastAsia" w:ascii="宋体" w:hAnsi="宋体" w:eastAsia="宋体" w:cs="宋体"/>
                <w:bCs/>
                <w:lang w:val="en-US" w:eastAsia="zh-CN"/>
              </w:rPr>
              <w:t>2、</w:t>
            </w:r>
            <w:r>
              <w:rPr>
                <w:rFonts w:hint="eastAsia" w:hAnsi="宋体" w:cs="宋体"/>
                <w:bCs/>
                <w:lang w:val="en-US" w:eastAsia="zh-CN"/>
              </w:rPr>
              <w:t>车辆伤害事故为零;</w:t>
            </w:r>
          </w:p>
          <w:p>
            <w:pPr>
              <w:pStyle w:val="3"/>
              <w:spacing w:line="360" w:lineRule="auto"/>
              <w:ind w:firstLine="480"/>
              <w:rPr>
                <w:rFonts w:hint="default" w:hAnsi="宋体" w:cs="宋体"/>
                <w:bCs/>
                <w:lang w:val="en-US" w:eastAsia="zh-CN"/>
              </w:rPr>
            </w:pPr>
            <w:r>
              <w:rPr>
                <w:rFonts w:hint="eastAsia" w:hAnsi="宋体" w:cs="宋体"/>
                <w:bCs/>
                <w:lang w:val="en-US" w:eastAsia="zh-CN"/>
              </w:rPr>
              <w:t>3、中毒或窒息事故为零。</w:t>
            </w:r>
          </w:p>
          <w:p>
            <w:pPr>
              <w:spacing w:line="360" w:lineRule="auto"/>
              <w:jc w:val="left"/>
              <w:rPr>
                <w:rFonts w:ascii="宋体" w:hAnsi="宋体"/>
                <w:szCs w:val="21"/>
              </w:rPr>
            </w:pPr>
            <w:r>
              <w:rPr>
                <w:rFonts w:hint="eastAsia" w:ascii="宋体" w:hAnsi="宋体"/>
                <w:szCs w:val="21"/>
              </w:rPr>
              <w:t>拟定有管理方案和预案。</w:t>
            </w:r>
          </w:p>
        </w:tc>
        <w:tc>
          <w:tcPr>
            <w:tcW w:w="1452" w:type="dxa"/>
            <w:vAlign w:val="top"/>
          </w:tcPr>
          <w:p>
            <w:pPr>
              <w:adjustRightInd w:val="0"/>
              <w:snapToGrid w:val="0"/>
              <w:rPr>
                <w:rFonts w:ascii="宋体" w:hAnsi="宋体" w:cs="宋体"/>
                <w:szCs w:val="21"/>
              </w:rPr>
            </w:pPr>
            <w:r>
              <w:rPr>
                <w:rFonts w:hint="eastAsia" w:ascii="宋体" w:hAnsi="宋体"/>
                <w:szCs w:val="21"/>
              </w:rPr>
              <w:t>S:</w:t>
            </w:r>
            <w:r>
              <w:rPr>
                <w:rFonts w:hint="eastAsia" w:ascii="宋体" w:hAnsi="宋体" w:cs="宋体"/>
                <w:szCs w:val="21"/>
              </w:rPr>
              <w:t>5.1;6.2</w:t>
            </w:r>
          </w:p>
          <w:p>
            <w:pPr>
              <w:spacing w:line="440" w:lineRule="exact"/>
              <w:jc w:val="center"/>
              <w:rPr>
                <w:rFonts w:ascii="宋体" w:hAnsi="宋体" w:eastAsia="宋体" w:cs="Times New Roman"/>
                <w:kern w:val="2"/>
                <w:sz w:val="21"/>
                <w:szCs w:val="21"/>
                <w:lang w:val="en-US" w:eastAsia="zh-CN" w:bidi="ar-SA"/>
              </w:rPr>
            </w:pPr>
          </w:p>
        </w:tc>
        <w:tc>
          <w:tcPr>
            <w:tcW w:w="912" w:type="dxa"/>
            <w:vAlign w:val="top"/>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040"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hint="eastAsia" w:ascii="宋体" w:hAnsi="宋体" w:eastAsia="宋体"/>
                <w:szCs w:val="21"/>
                <w:lang w:val="en-US" w:eastAsia="zh-CN"/>
              </w:rPr>
            </w:pPr>
            <w:r>
              <w:rPr>
                <w:rFonts w:hint="eastAsia" w:ascii="宋体" w:hAnsi="宋体"/>
                <w:szCs w:val="21"/>
              </w:rPr>
              <w:t xml:space="preserve">见有《内部审核计划表》 </w:t>
            </w:r>
            <w:r>
              <w:rPr>
                <w:rFonts w:hint="eastAsia" w:ascii="宋体" w:hAnsi="宋体"/>
                <w:szCs w:val="21"/>
                <w:lang w:eastAsia="zh-CN"/>
              </w:rPr>
              <w:t>（</w:t>
            </w:r>
            <w:r>
              <w:rPr>
                <w:rFonts w:hint="eastAsia" w:ascii="宋体" w:hAnsi="宋体"/>
                <w:kern w:val="44"/>
                <w:szCs w:val="21"/>
              </w:rPr>
              <w:t>按质量、环境和职业健康安全</w:t>
            </w:r>
            <w:r>
              <w:rPr>
                <w:rFonts w:hint="eastAsia" w:ascii="宋体" w:hAnsi="宋体"/>
                <w:kern w:val="44"/>
                <w:szCs w:val="21"/>
                <w:lang w:val="en-US" w:eastAsia="zh-CN"/>
              </w:rPr>
              <w:t>三体系</w:t>
            </w:r>
            <w:r>
              <w:rPr>
                <w:rFonts w:hint="eastAsia" w:ascii="宋体" w:hAnsi="宋体"/>
                <w:kern w:val="44"/>
                <w:szCs w:val="21"/>
              </w:rPr>
              <w:t>一起策划的</w:t>
            </w:r>
            <w:r>
              <w:rPr>
                <w:rFonts w:hint="eastAsia" w:ascii="宋体" w:hAnsi="宋体"/>
                <w:kern w:val="44"/>
                <w:szCs w:val="21"/>
                <w:lang w:val="en-US" w:eastAsia="zh-CN"/>
              </w:rPr>
              <w:t>内部审核</w:t>
            </w:r>
            <w:r>
              <w:rPr>
                <w:rFonts w:hint="eastAsia" w:ascii="宋体" w:hAnsi="宋体"/>
                <w:kern w:val="44"/>
                <w:szCs w:val="21"/>
                <w:lang w:eastAsia="zh-CN"/>
              </w:rPr>
              <w:t>）</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-16日</w:t>
            </w:r>
          </w:p>
          <w:p>
            <w:pPr>
              <w:spacing w:line="400" w:lineRule="exact"/>
              <w:rPr>
                <w:szCs w:val="21"/>
              </w:rPr>
            </w:pPr>
            <w:r>
              <w:rPr>
                <w:rFonts w:hint="eastAsia" w:ascii="宋体" w:hAnsi="宋体"/>
                <w:szCs w:val="21"/>
              </w:rPr>
              <w:t>内审组：</w:t>
            </w:r>
            <w:r>
              <w:rPr>
                <w:rFonts w:hint="eastAsia"/>
                <w:szCs w:val="21"/>
                <w:lang w:val="en-US" w:eastAsia="zh-CN"/>
              </w:rPr>
              <w:t>陈传凤</w:t>
            </w:r>
            <w:r>
              <w:rPr>
                <w:rFonts w:hint="eastAsia"/>
                <w:szCs w:val="21"/>
              </w:rPr>
              <w:t>（组长）、</w:t>
            </w:r>
            <w:r>
              <w:rPr>
                <w:rFonts w:hint="eastAsia"/>
                <w:szCs w:val="21"/>
                <w:lang w:val="en-US" w:eastAsia="zh-CN"/>
              </w:rPr>
              <w:t>吴强</w:t>
            </w:r>
            <w:r>
              <w:rPr>
                <w:rFonts w:hint="eastAsia"/>
                <w:szCs w:val="21"/>
              </w:rPr>
              <w:t>（组员）。</w:t>
            </w:r>
          </w:p>
          <w:p>
            <w:pPr>
              <w:spacing w:line="360" w:lineRule="auto"/>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份，涉及</w:t>
            </w:r>
            <w:r>
              <w:rPr>
                <w:rFonts w:hint="eastAsia" w:ascii="宋体" w:hAnsi="宋体"/>
                <w:szCs w:val="21"/>
                <w:lang w:val="en-US" w:eastAsia="zh-CN"/>
              </w:rPr>
              <w:t>市场</w:t>
            </w:r>
            <w:r>
              <w:rPr>
                <w:rFonts w:hint="eastAsia" w:ascii="宋体" w:hAnsi="宋体"/>
                <w:szCs w:val="21"/>
              </w:rPr>
              <w:t>部</w:t>
            </w:r>
            <w:r>
              <w:rPr>
                <w:rFonts w:hint="eastAsia" w:ascii="宋体" w:hAnsi="宋体"/>
                <w:szCs w:val="21"/>
                <w:lang w:val="en-US" w:eastAsia="zh-CN"/>
              </w:rPr>
              <w:t>Q9.1.2</w:t>
            </w:r>
            <w:r>
              <w:rPr>
                <w:rFonts w:hint="eastAsia" w:ascii="宋体" w:hAnsi="宋体"/>
                <w:szCs w:val="21"/>
              </w:rPr>
              <w:t>条款</w:t>
            </w:r>
            <w:r>
              <w:rPr>
                <w:rFonts w:hint="eastAsia" w:ascii="宋体" w:hAnsi="宋体"/>
                <w:szCs w:val="21"/>
                <w:lang w:eastAsia="zh-CN"/>
              </w:rPr>
              <w:t>“</w:t>
            </w:r>
            <w:r>
              <w:rPr>
                <w:rFonts w:hint="eastAsia" w:ascii="宋体" w:hAnsi="宋体"/>
              </w:rPr>
              <w:t>部门负责人提供提了顾客满意度调查表，但未对调查结果进行统计分析</w:t>
            </w:r>
            <w:r>
              <w:rPr>
                <w:rFonts w:hint="eastAsia" w:ascii="宋体" w:hAnsi="宋体"/>
                <w:szCs w:val="21"/>
                <w:lang w:eastAsia="zh-CN"/>
              </w:rPr>
              <w:t>”</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452" w:type="dxa"/>
            <w:vAlign w:val="top"/>
          </w:tcPr>
          <w:p>
            <w:pPr>
              <w:adjustRightInd w:val="0"/>
              <w:snapToGrid w:val="0"/>
              <w:rPr>
                <w:rFonts w:ascii="宋体" w:hAnsi="宋体" w:cs="宋体"/>
                <w:szCs w:val="21"/>
              </w:rPr>
            </w:pPr>
            <w:r>
              <w:rPr>
                <w:rFonts w:hint="eastAsia" w:ascii="宋体" w:hAnsi="宋体"/>
                <w:szCs w:val="21"/>
              </w:rPr>
              <w:t>S:</w:t>
            </w:r>
            <w:r>
              <w:rPr>
                <w:rFonts w:hint="eastAsia" w:ascii="宋体" w:hAnsi="宋体" w:cs="宋体"/>
                <w:szCs w:val="21"/>
              </w:rPr>
              <w:t>9.2</w:t>
            </w:r>
          </w:p>
          <w:p>
            <w:pPr>
              <w:spacing w:line="440" w:lineRule="exact"/>
              <w:jc w:val="center"/>
              <w:rPr>
                <w:rFonts w:ascii="宋体" w:hAnsi="宋体" w:eastAsia="宋体" w:cs="Times New Roman"/>
                <w:kern w:val="2"/>
                <w:sz w:val="21"/>
                <w:szCs w:val="21"/>
                <w:lang w:val="en-US" w:eastAsia="zh-CN" w:bidi="ar-SA"/>
              </w:rPr>
            </w:pPr>
          </w:p>
        </w:tc>
        <w:tc>
          <w:tcPr>
            <w:tcW w:w="912"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040"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日由总经理</w:t>
            </w:r>
            <w:r>
              <w:rPr>
                <w:rFonts w:hint="eastAsia" w:ascii="宋体" w:hAnsi="宋体"/>
                <w:szCs w:val="21"/>
                <w:lang w:eastAsia="zh-CN"/>
              </w:rPr>
              <w:t>樊绍文</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提出以下改进内容：</w:t>
            </w:r>
          </w:p>
          <w:p>
            <w:pPr>
              <w:spacing w:before="156" w:beforeLines="50" w:line="360" w:lineRule="auto"/>
              <w:ind w:firstLine="420" w:firstLineChars="200"/>
              <w:rPr>
                <w:rFonts w:hAnsi="宋体"/>
                <w:kern w:val="0"/>
                <w:u w:val="single"/>
              </w:rPr>
            </w:pPr>
            <w:r>
              <w:rPr>
                <w:rFonts w:hint="eastAsia" w:ascii="宋体" w:hAnsi="宋体"/>
                <w:sz w:val="21"/>
                <w:szCs w:val="21"/>
              </w:rPr>
              <w:t>加强对管理体系标准、管理手册、程序文件的培训，确保持续有效运行体系。</w:t>
            </w:r>
          </w:p>
        </w:tc>
        <w:tc>
          <w:tcPr>
            <w:tcW w:w="1452" w:type="dxa"/>
            <w:vAlign w:val="top"/>
          </w:tcPr>
          <w:p>
            <w:pPr>
              <w:adjustRightInd w:val="0"/>
              <w:snapToGrid w:val="0"/>
              <w:rPr>
                <w:rFonts w:hint="eastAsia" w:ascii="宋体" w:hAnsi="宋体" w:eastAsia="宋体" w:cs="宋体"/>
                <w:szCs w:val="21"/>
                <w:lang w:val="en-US" w:eastAsia="zh-CN"/>
              </w:rPr>
            </w:pPr>
            <w:r>
              <w:rPr>
                <w:rFonts w:hint="eastAsia" w:ascii="宋体" w:hAnsi="宋体"/>
                <w:szCs w:val="21"/>
              </w:rPr>
              <w:t>S:</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eastAsia="宋体" w:cs="Times New Roman"/>
                <w:kern w:val="2"/>
                <w:sz w:val="21"/>
                <w:szCs w:val="21"/>
                <w:lang w:val="en-US" w:eastAsia="zh-CN" w:bidi="ar-SA"/>
              </w:rPr>
            </w:pPr>
          </w:p>
        </w:tc>
        <w:tc>
          <w:tcPr>
            <w:tcW w:w="912"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040"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通过一阶段对受审核方的生产场所、办公场所巡视和观察，对管理体系绩效要求有重大影响的过程、活动、场所和现场运行进行观察、巡视及总体性评价，组织具备二阶段审核条件，可进行二阶段审核。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二阶段职业健康安全管理体系宜重点关注（办公和研发实验现场的职业健康安全保护等）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重点审核部门：行政部、研发部。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重点审核过程：关键岗位人员资质确认、办公场所的安全运行控制、研发过程中不可接受风险的管控。</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重点审核场所：办公场所、实验室（P2生物安全实验室）。</w:t>
            </w:r>
          </w:p>
        </w:tc>
        <w:tc>
          <w:tcPr>
            <w:tcW w:w="1452" w:type="dxa"/>
            <w:vAlign w:val="top"/>
          </w:tcPr>
          <w:p>
            <w:pPr>
              <w:spacing w:line="440" w:lineRule="exact"/>
              <w:jc w:val="center"/>
              <w:rPr>
                <w:rFonts w:ascii="宋体" w:hAnsi="宋体" w:eastAsia="宋体" w:cs="Times New Roman"/>
                <w:kern w:val="2"/>
                <w:sz w:val="21"/>
                <w:szCs w:val="21"/>
                <w:lang w:val="en-US" w:eastAsia="zh-CN" w:bidi="ar-SA"/>
              </w:rPr>
            </w:pPr>
          </w:p>
        </w:tc>
        <w:tc>
          <w:tcPr>
            <w:tcW w:w="912" w:type="dxa"/>
            <w:vAlign w:val="top"/>
          </w:tcPr>
          <w:p>
            <w:pPr>
              <w:spacing w:line="440" w:lineRule="exact"/>
              <w:jc w:val="center"/>
              <w:rPr>
                <w:rFonts w:ascii="宋体" w:hAnsi="宋体" w:eastAsia="宋体" w:cs="Times New Roman"/>
                <w:kern w:val="2"/>
                <w:sz w:val="21"/>
                <w:szCs w:val="21"/>
                <w:lang w:val="en-US" w:eastAsia="zh-CN" w:bidi="ar-SA"/>
              </w:rPr>
            </w:p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D2A44"/>
    <w:rsid w:val="04D630F5"/>
    <w:rsid w:val="05170F6C"/>
    <w:rsid w:val="0EAB4344"/>
    <w:rsid w:val="0F9D3631"/>
    <w:rsid w:val="134F183A"/>
    <w:rsid w:val="1A49564E"/>
    <w:rsid w:val="1B2A7E58"/>
    <w:rsid w:val="1F767D52"/>
    <w:rsid w:val="2A1F2EE7"/>
    <w:rsid w:val="2C263C9C"/>
    <w:rsid w:val="2FEA6495"/>
    <w:rsid w:val="30D12D3B"/>
    <w:rsid w:val="34D45F5F"/>
    <w:rsid w:val="35F84263"/>
    <w:rsid w:val="36D84F22"/>
    <w:rsid w:val="37BE0E08"/>
    <w:rsid w:val="3B9D07F2"/>
    <w:rsid w:val="3BCD1633"/>
    <w:rsid w:val="3C7819B1"/>
    <w:rsid w:val="3CD00E6B"/>
    <w:rsid w:val="3D3A49FA"/>
    <w:rsid w:val="44B447E1"/>
    <w:rsid w:val="45413030"/>
    <w:rsid w:val="50FC09CD"/>
    <w:rsid w:val="51BC4730"/>
    <w:rsid w:val="570F54C0"/>
    <w:rsid w:val="5B0C3355"/>
    <w:rsid w:val="67DB492A"/>
    <w:rsid w:val="685E50BB"/>
    <w:rsid w:val="6C466D7B"/>
    <w:rsid w:val="6D154E4D"/>
    <w:rsid w:val="71FE7B78"/>
    <w:rsid w:val="739F15B7"/>
    <w:rsid w:val="7B6855D8"/>
    <w:rsid w:val="7F247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99"/>
    <w:rPr>
      <w:rFonts w:ascii="宋体" w:hAnsi="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2021-05-11T15:03:45Z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4F8127F6965A49088B17B4445DA27670</vt:lpwstr>
  </property>
</Properties>
</file>