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74"/>
        <w:gridCol w:w="444"/>
        <w:gridCol w:w="425"/>
        <w:gridCol w:w="425"/>
        <w:gridCol w:w="309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0359-2021-O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王桂渝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18030682384</w:t>
            </w:r>
            <w:bookmarkEnd w:id="6"/>
          </w:p>
        </w:tc>
        <w:tc>
          <w:tcPr>
            <w:tcW w:w="86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wang.guiyu@olymvax.com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/>
                <w:lang w:eastAsia="zh-CN"/>
              </w:rPr>
              <w:t>樊绍文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4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6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吸附破伤风疫苗、b型流感嗜血杆菌结合疫苗的技术研发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2021年05月02日 上午至2021年05月02日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34.03.01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42" w:type="dxa"/>
            <w:gridSpan w:val="4"/>
            <w:vAlign w:val="center"/>
          </w:tcPr>
          <w:p/>
        </w:tc>
        <w:tc>
          <w:tcPr>
            <w:tcW w:w="1603" w:type="dxa"/>
            <w:gridSpan w:val="4"/>
            <w:vAlign w:val="center"/>
          </w:tcPr>
          <w:p/>
        </w:tc>
        <w:tc>
          <w:tcPr>
            <w:tcW w:w="134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E0369B"/>
    <w:rsid w:val="76C7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2021-05-09T07:18:53Z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64FB782ED2F948E1A5C29CFAD80DDADC</vt:lpwstr>
  </property>
</Properties>
</file>