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499"/>
        <w:gridCol w:w="642"/>
        <w:gridCol w:w="517"/>
        <w:gridCol w:w="1184"/>
        <w:gridCol w:w="567"/>
        <w:gridCol w:w="1134"/>
        <w:gridCol w:w="284"/>
        <w:gridCol w:w="425"/>
        <w:gridCol w:w="425"/>
        <w:gridCol w:w="24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四川鸿源环境检测技术咨询有限公司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解小丽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13730638797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Q：资质范围内的环境监测服务、环境验收服务、职业病危害因素检测与评价、放射性卫生防护检测与评价 、公共卫生检测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E：资质范围内的环境监测服务、环境验收服务、职业病危害因素检测与评价、放射性卫生防护检测与评价 、公共卫生检测所涉及的相关环境管理活动</w:t>
            </w:r>
          </w:p>
          <w:p>
            <w:r>
              <w:rPr>
                <w:sz w:val="21"/>
                <w:szCs w:val="21"/>
              </w:rPr>
              <w:t>O：资质范围内的环境监测服务、环境验收服务、职业病危害因素检测与评价、放射性卫生防护检测与评价 、公共卫生检测所涉及的相关职业健康安全管理活动。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Q：34.02.00</w:t>
            </w:r>
          </w:p>
          <w:p>
            <w:r>
              <w:t>E：34.02.00</w:t>
            </w:r>
          </w:p>
          <w:p>
            <w:r>
              <w:t>O：34.02.00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2019年10月30日 上午至2019年10月30日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19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5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9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9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2019年10月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color w:val="000000"/>
                <w:szCs w:val="21"/>
              </w:rPr>
              <w:t>2019年10月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0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9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0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19.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10.30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：00-16：30</w:t>
            </w:r>
          </w:p>
        </w:tc>
        <w:tc>
          <w:tcPr>
            <w:tcW w:w="666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1.确定管理层二阶段审核的重点。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2.确认体系策划部门是否按要求建立、实施、保持并持续改进了体系。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.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4.适用法律法规、技术标准识别的充分性，收集合规性的证据。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6.结合目标确定体系推动部门第二阶段重要审核点。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B1EBE"/>
    <w:rsid w:val="64CC7664"/>
    <w:rsid w:val="7D1E2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2019-10-30T02:16:26Z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