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85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重庆纯誉智能设备有限公司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重庆市璧山区丁家街道迎宾大道189号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刘书伦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18221093169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402758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刘书伦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148119752@qq.com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工业数控自动化设备的零部件、模具、工装夹具的生产，汽车配件的销售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17.10.02;17.11.03;29.03.01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2021年05月08日 上午至2021年05月08日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17.10.02,17.11.03,29.03.01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17.10.02,17.11.03,29.03.01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10795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2021年5月6日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2021年5月6日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（午休时间12：00-13:00）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</w:t>
            </w:r>
            <w:bookmarkStart w:id="17" w:name="_GoBack"/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销售）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；8.5.3顾</w:t>
            </w:r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；7.1.5监视和测量资源；8.1运行策划和控制；8.3设计开发控制；8.5.1生产和服务提供的控制；8.5.2标识和可追溯性；8.5.4防护；8.5.6更改控制；8.6产品和服务放行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16:30-17:00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2009BF"/>
    <w:rsid w:val="5AEE2158"/>
    <w:rsid w:val="7A2D4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2021-05-08T01:34:44Z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C1CC750CF6AE4AE6A747CF712480801E</vt:lpwstr>
  </property>
</Properties>
</file>