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0386-2021-E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重庆康通机械制造有限公司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重庆康通机械制造有限公司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重庆市双桥经济技术开发区青龙路1号(综合办公楼1楼2号办公室)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400900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重庆市双桥经济技术开发区青龙路1号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400900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徐峰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15213246334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陈骁洋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徐峰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570959206@qq.com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金属表面处理所涉及的相关环境管理活动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管理手册、程序文件、内审报告、管理评审报告、重要环境因素、合规性报告等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部门：生产部</w:t>
      </w:r>
      <w:r>
        <w:rPr>
          <w:rFonts w:hint="eastAsia" w:ascii="宋体" w:hAnsi="宋体"/>
          <w:b/>
          <w:color w:val="000000"/>
          <w:sz w:val="20"/>
          <w:szCs w:val="20"/>
        </w:rPr>
        <w:tab/>
      </w:r>
      <w:r>
        <w:rPr>
          <w:rFonts w:hint="eastAsia" w:ascii="宋体" w:hAnsi="宋体"/>
          <w:b/>
          <w:color w:val="000000"/>
          <w:sz w:val="20"/>
          <w:szCs w:val="20"/>
        </w:rPr>
        <w:t>供销部</w:t>
      </w:r>
      <w:r>
        <w:rPr>
          <w:rFonts w:hint="eastAsia" w:ascii="宋体" w:hAnsi="宋体"/>
          <w:b/>
          <w:color w:val="000000"/>
          <w:sz w:val="20"/>
          <w:szCs w:val="20"/>
        </w:rPr>
        <w:tab/>
      </w:r>
      <w:r>
        <w:rPr>
          <w:rFonts w:hint="eastAsia" w:ascii="宋体" w:hAnsi="宋体"/>
          <w:b/>
          <w:color w:val="000000"/>
          <w:sz w:val="20"/>
          <w:szCs w:val="20"/>
        </w:rPr>
        <w:t>行政部</w:t>
      </w:r>
      <w:r>
        <w:rPr>
          <w:rFonts w:hint="eastAsia" w:ascii="宋体" w:hAnsi="宋体"/>
          <w:b/>
          <w:color w:val="000000"/>
          <w:sz w:val="20"/>
          <w:szCs w:val="20"/>
        </w:rPr>
        <w:tab/>
      </w:r>
      <w:r>
        <w:rPr>
          <w:rFonts w:hint="eastAsia" w:ascii="宋体" w:hAnsi="宋体"/>
          <w:b/>
          <w:color w:val="000000"/>
          <w:sz w:val="20"/>
          <w:szCs w:val="20"/>
        </w:rPr>
        <w:t>财务部</w:t>
      </w:r>
      <w:r>
        <w:rPr>
          <w:rFonts w:hint="eastAsia" w:ascii="宋体" w:hAnsi="宋体"/>
          <w:b/>
          <w:color w:val="000000"/>
          <w:sz w:val="20"/>
          <w:szCs w:val="20"/>
        </w:rPr>
        <w:tab/>
      </w:r>
      <w:r>
        <w:rPr>
          <w:rFonts w:hint="eastAsia" w:ascii="宋体" w:hAnsi="宋体"/>
          <w:b/>
          <w:color w:val="000000"/>
          <w:sz w:val="20"/>
          <w:szCs w:val="20"/>
        </w:rPr>
        <w:t>技质部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 xml:space="preserve">产品：金属表面处理所涉及的相关环境管理活动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公司部门设置：生产部</w:t>
            </w:r>
            <w:r>
              <w:rPr>
                <w:rFonts w:hint="eastAsia" w:ascii="宋体" w:hAnsi="宋体"/>
                <w:b/>
                <w:color w:val="000000"/>
                <w:sz w:val="20"/>
                <w:szCs w:val="20"/>
              </w:rPr>
              <w:tab/>
            </w:r>
            <w:r>
              <w:rPr>
                <w:rFonts w:hint="eastAsia" w:ascii="宋体" w:hAnsi="宋体"/>
                <w:b/>
                <w:color w:val="000000"/>
                <w:sz w:val="20"/>
                <w:szCs w:val="20"/>
              </w:rPr>
              <w:t>供销部</w:t>
            </w:r>
            <w:r>
              <w:rPr>
                <w:rFonts w:hint="eastAsia" w:ascii="宋体" w:hAnsi="宋体"/>
                <w:b/>
                <w:color w:val="000000"/>
                <w:sz w:val="20"/>
                <w:szCs w:val="20"/>
              </w:rPr>
              <w:tab/>
            </w:r>
            <w:r>
              <w:rPr>
                <w:rFonts w:hint="eastAsia" w:ascii="宋体" w:hAnsi="宋体"/>
                <w:b/>
                <w:color w:val="000000"/>
                <w:sz w:val="20"/>
                <w:szCs w:val="20"/>
              </w:rPr>
              <w:t>行政部</w:t>
            </w:r>
            <w:r>
              <w:rPr>
                <w:rFonts w:hint="eastAsia" w:ascii="宋体" w:hAnsi="宋体"/>
                <w:b/>
                <w:color w:val="000000"/>
                <w:sz w:val="20"/>
                <w:szCs w:val="20"/>
              </w:rPr>
              <w:tab/>
            </w:r>
            <w:r>
              <w:rPr>
                <w:rFonts w:hint="eastAsia" w:ascii="宋体" w:hAnsi="宋体"/>
                <w:b/>
                <w:color w:val="000000"/>
                <w:sz w:val="20"/>
                <w:szCs w:val="20"/>
              </w:rPr>
              <w:t>财务部</w:t>
            </w:r>
            <w:r>
              <w:rPr>
                <w:rFonts w:hint="eastAsia" w:ascii="宋体" w:hAnsi="宋体"/>
                <w:b/>
                <w:color w:val="000000"/>
                <w:sz w:val="20"/>
                <w:szCs w:val="20"/>
              </w:rPr>
              <w:tab/>
            </w:r>
            <w:r>
              <w:rPr>
                <w:rFonts w:hint="eastAsia" w:ascii="宋体" w:hAnsi="宋体"/>
                <w:b/>
                <w:color w:val="000000"/>
                <w:sz w:val="20"/>
                <w:szCs w:val="20"/>
              </w:rPr>
              <w:t>技质部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hint="eastAsia" w:ascii="宋体" w:hAnsi="宋体"/>
                <w:color w:val="000000"/>
                <w:sz w:val="20"/>
                <w:szCs w:val="20"/>
              </w:rPr>
              <w:t>重庆市双桥经济技术开发区青龙路1号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环境执行标准：《污水综合排放标准》（ GB8978-1996）三级标准、《摩托车及汽车配件制造表面涂装大气污染物排放标准》（DB50/660-2016）表 2中其他区域排气筒大气污染物排放限值要求、《工业炉窑大气污染物排放标准》（DB50/659-2016）其它区域排放限值要求、《工业企业厂界环境噪声排放标准》（GB12348-2008）中的3类标准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原材料检验合格入库—表面处理—电泳—检验成品质量—合格入库—出厂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主要设备：抛丸机、超滤机、电泳系统、电脑及办公设备（含传真机、打印机等）和空调等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膜厚仪，百格刀，盐雾试验机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highlight w:val="none"/>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重要环境因素有：1）潜在火灾；2）固废的排放</w:t>
            </w:r>
            <w:r>
              <w:rPr>
                <w:rFonts w:hint="eastAsia" w:ascii="宋体"/>
                <w:color w:val="000000"/>
                <w:sz w:val="20"/>
                <w:szCs w:val="20"/>
                <w:lang w:eastAsia="zh-CN"/>
              </w:rPr>
              <w:t>；</w:t>
            </w:r>
            <w:r>
              <w:rPr>
                <w:rFonts w:hint="eastAsia" w:ascii="宋体"/>
                <w:color w:val="000000"/>
                <w:sz w:val="20"/>
                <w:szCs w:val="20"/>
                <w:lang w:val="en-US" w:eastAsia="zh-CN"/>
              </w:rPr>
              <w:t>3）噪声的排放；4）废气的排放；5）废水的排放</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针对重要环境因素建立了运行控制程序：（1）环境因素识别与评价管理程序；（2）环境运行管理程序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应急预案有：消防应急预案。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行政部、供销部、生产部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eastAsia" w:ascii="宋体" w:hAnsi="宋体" w:eastAsia="宋体" w:cs="宋体"/>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宋体"/>
                <w:sz w:val="20"/>
                <w:szCs w:val="20"/>
              </w:rPr>
              <w:t>建立有《内部审核控制程序》，于20</w:t>
            </w:r>
            <w:r>
              <w:rPr>
                <w:rFonts w:hint="eastAsia" w:ascii="宋体" w:hAnsi="宋体" w:eastAsia="宋体" w:cs="宋体"/>
                <w:sz w:val="20"/>
                <w:szCs w:val="20"/>
                <w:lang w:val="en-US" w:eastAsia="zh-CN"/>
              </w:rPr>
              <w:t>2</w:t>
            </w:r>
            <w:r>
              <w:rPr>
                <w:rFonts w:hint="eastAsia" w:ascii="宋体" w:hAnsi="宋体" w:cs="宋体"/>
                <w:sz w:val="20"/>
                <w:szCs w:val="20"/>
                <w:lang w:val="en-US" w:eastAsia="zh-CN"/>
              </w:rPr>
              <w:t>1</w:t>
            </w:r>
            <w:r>
              <w:rPr>
                <w:rFonts w:hint="eastAsia" w:ascii="宋体" w:hAnsi="宋体" w:eastAsia="宋体" w:cs="宋体"/>
                <w:sz w:val="20"/>
                <w:szCs w:val="20"/>
              </w:rPr>
              <w:t>年</w:t>
            </w:r>
            <w:r>
              <w:rPr>
                <w:rFonts w:hint="eastAsia" w:ascii="宋体" w:hAnsi="宋体" w:cs="宋体"/>
                <w:sz w:val="20"/>
                <w:szCs w:val="20"/>
                <w:lang w:val="en-US" w:eastAsia="zh-CN"/>
              </w:rPr>
              <w:t>4</w:t>
            </w:r>
            <w:r>
              <w:rPr>
                <w:rFonts w:hint="eastAsia" w:ascii="宋体" w:hAnsi="宋体" w:eastAsia="宋体" w:cs="宋体"/>
                <w:sz w:val="20"/>
                <w:szCs w:val="20"/>
              </w:rPr>
              <w:t>月</w:t>
            </w:r>
            <w:r>
              <w:rPr>
                <w:rFonts w:hint="eastAsia" w:ascii="宋体" w:hAnsi="宋体" w:eastAsia="宋体" w:cs="宋体"/>
                <w:sz w:val="20"/>
                <w:szCs w:val="20"/>
                <w:lang w:val="en-US" w:eastAsia="zh-CN"/>
              </w:rPr>
              <w:t>1</w:t>
            </w:r>
            <w:r>
              <w:rPr>
                <w:rFonts w:hint="eastAsia" w:ascii="宋体" w:hAnsi="宋体" w:cs="宋体"/>
                <w:sz w:val="20"/>
                <w:szCs w:val="20"/>
                <w:lang w:val="en-US" w:eastAsia="zh-CN"/>
              </w:rPr>
              <w:t>0</w:t>
            </w:r>
            <w:r>
              <w:rPr>
                <w:rFonts w:hint="eastAsia" w:ascii="宋体" w:hAnsi="宋体" w:eastAsia="宋体" w:cs="宋体"/>
                <w:sz w:val="20"/>
                <w:szCs w:val="20"/>
              </w:rPr>
              <w:t>日进行了内部审核。</w:t>
            </w:r>
          </w:p>
          <w:p>
            <w:pPr>
              <w:spacing w:line="400" w:lineRule="exact"/>
              <w:rPr>
                <w:rFonts w:ascii="宋体" w:hAnsi="Times New Roman" w:eastAsia="宋体" w:cs="Times New Roman"/>
                <w:b/>
                <w:color w:val="000000"/>
                <w:kern w:val="2"/>
                <w:sz w:val="20"/>
                <w:szCs w:val="20"/>
                <w:lang w:val="en-US" w:eastAsia="zh-CN" w:bidi="ar-SA"/>
              </w:rPr>
            </w:pPr>
            <w:r>
              <w:rPr>
                <w:rFonts w:hint="eastAsia" w:ascii="宋体" w:hAnsi="宋体" w:eastAsia="宋体" w:cs="宋体"/>
                <w:sz w:val="20"/>
                <w:szCs w:val="20"/>
              </w:rPr>
              <w:t>内部审核组由：黄强（组长）、黄贵容（组员）组成。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hint="eastAsia" w:ascii="宋体" w:hAnsi="宋体" w:eastAsia="宋体" w:cs="宋体"/>
                <w:sz w:val="20"/>
                <w:szCs w:val="20"/>
              </w:rPr>
            </w:pPr>
            <w:r>
              <w:rPr>
                <w:rFonts w:hint="eastAsia" w:ascii="宋体" w:hAnsi="宋体" w:eastAsia="宋体" w:cs="宋体"/>
                <w:sz w:val="20"/>
                <w:szCs w:val="20"/>
              </w:rPr>
              <w:t>审核范围:管理体系涉及的公司所有部门、</w:t>
            </w:r>
            <w:r>
              <w:rPr>
                <w:rFonts w:hint="eastAsia" w:ascii="宋体" w:hAnsi="宋体" w:cs="宋体"/>
                <w:sz w:val="20"/>
                <w:szCs w:val="20"/>
                <w:lang w:val="en-US" w:eastAsia="zh-CN"/>
              </w:rPr>
              <w:t>生产</w:t>
            </w:r>
            <w:r>
              <w:rPr>
                <w:rFonts w:hint="eastAsia" w:ascii="宋体" w:hAnsi="宋体" w:eastAsia="宋体" w:cs="宋体"/>
                <w:sz w:val="20"/>
                <w:szCs w:val="20"/>
              </w:rPr>
              <w:t>场所</w:t>
            </w:r>
            <w:r>
              <w:rPr>
                <w:rFonts w:hint="eastAsia" w:ascii="宋体" w:hAnsi="宋体" w:cs="宋体"/>
                <w:sz w:val="20"/>
                <w:szCs w:val="20"/>
                <w:lang w:val="en-US" w:eastAsia="zh-CN"/>
              </w:rPr>
              <w:t>和办公场所</w:t>
            </w:r>
            <w:r>
              <w:rPr>
                <w:rFonts w:hint="eastAsia" w:ascii="宋体" w:hAnsi="宋体" w:eastAsia="宋体" w:cs="宋体"/>
                <w:sz w:val="20"/>
                <w:szCs w:val="20"/>
              </w:rPr>
              <w:t>。</w:t>
            </w:r>
          </w:p>
          <w:p>
            <w:pPr>
              <w:numPr>
                <w:ilvl w:val="0"/>
                <w:numId w:val="1"/>
              </w:numPr>
              <w:spacing w:line="340" w:lineRule="exact"/>
              <w:rPr>
                <w:rFonts w:ascii="宋体" w:hAnsi="Times New Roman" w:eastAsia="宋体" w:cs="Times New Roman"/>
                <w:b/>
                <w:color w:val="000000"/>
                <w:kern w:val="2"/>
                <w:sz w:val="20"/>
                <w:szCs w:val="20"/>
                <w:lang w:val="en-US" w:eastAsia="zh-CN" w:bidi="ar-SA"/>
              </w:rPr>
            </w:pPr>
            <w:r>
              <w:rPr>
                <w:rFonts w:hint="eastAsia" w:ascii="宋体" w:hAnsi="宋体" w:eastAsia="宋体" w:cs="宋体"/>
                <w:sz w:val="20"/>
                <w:szCs w:val="20"/>
              </w:rPr>
              <w:t>审核准则：a.GB/T 24001-2016标准；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numPr>
                <w:ilvl w:val="0"/>
                <w:numId w:val="0"/>
              </w:numPr>
              <w:spacing w:line="340" w:lineRule="exact"/>
              <w:ind w:firstLine="200" w:firstLineChars="100"/>
              <w:rPr>
                <w:rFonts w:hint="eastAsia" w:ascii="宋体" w:hAnsi="宋体" w:eastAsia="宋体" w:cs="宋体"/>
                <w:sz w:val="20"/>
                <w:szCs w:val="20"/>
              </w:rPr>
            </w:pPr>
            <w:r>
              <w:rPr>
                <w:rFonts w:hint="eastAsia" w:ascii="宋体" w:hAnsi="宋体" w:eastAsia="宋体" w:cs="宋体"/>
                <w:sz w:val="20"/>
                <w:szCs w:val="20"/>
              </w:rPr>
              <w:t>本次内审对GB/T 24001-2016标准体系文件管理手册、体系文件进行了全面检查，通过审核可以看出管理体系已基本进入了正常状态，但仍存在一些问题，需要</w:t>
            </w:r>
            <w:r>
              <w:rPr>
                <w:rFonts w:hint="eastAsia" w:ascii="宋体" w:hAnsi="宋体" w:eastAsia="宋体" w:cs="宋体"/>
                <w:sz w:val="20"/>
                <w:szCs w:val="20"/>
                <w:lang w:val="en-US" w:eastAsia="zh-CN"/>
              </w:rPr>
              <w:t>加强员工对体系的认识度和执行力</w:t>
            </w:r>
            <w:r>
              <w:rPr>
                <w:rFonts w:hint="eastAsia" w:ascii="宋体" w:hAnsi="宋体" w:eastAsia="宋体" w:cs="宋体"/>
                <w:sz w:val="20"/>
                <w:szCs w:val="20"/>
              </w:rPr>
              <w:t>。</w:t>
            </w:r>
          </w:p>
          <w:p>
            <w:pPr>
              <w:numPr>
                <w:ilvl w:val="0"/>
                <w:numId w:val="0"/>
              </w:numPr>
              <w:spacing w:line="340" w:lineRule="exact"/>
              <w:ind w:firstLine="200" w:firstLineChars="100"/>
              <w:rPr>
                <w:rFonts w:hint="eastAsia" w:ascii="宋体" w:hAnsi="宋体" w:eastAsia="宋体" w:cs="宋体"/>
                <w:sz w:val="20"/>
                <w:szCs w:val="20"/>
              </w:rPr>
            </w:pPr>
            <w:r>
              <w:rPr>
                <w:rFonts w:hint="eastAsia" w:ascii="宋体" w:hAnsi="宋体" w:eastAsia="宋体" w:cs="宋体"/>
                <w:sz w:val="20"/>
                <w:szCs w:val="20"/>
              </w:rPr>
              <w:t>各部门需要对内审开出的不符合项报告认真整改，并做到举一反三，以点带面，通过纠正预防措施的执行，使管理体系正常而有效运行。</w:t>
            </w:r>
          </w:p>
          <w:p>
            <w:pPr>
              <w:numPr>
                <w:ilvl w:val="0"/>
                <w:numId w:val="0"/>
              </w:numPr>
              <w:spacing w:line="340" w:lineRule="exact"/>
              <w:ind w:firstLine="200" w:firstLineChars="100"/>
              <w:rPr>
                <w:rFonts w:ascii="宋体" w:hAnsi="宋体" w:eastAsia="宋体" w:cs="Times New Roman"/>
                <w:b/>
                <w:color w:val="000000"/>
                <w:kern w:val="2"/>
                <w:sz w:val="20"/>
                <w:szCs w:val="20"/>
                <w:lang w:val="en-US" w:eastAsia="zh-CN" w:bidi="ar-SA"/>
              </w:rPr>
            </w:pPr>
            <w:r>
              <w:rPr>
                <w:rFonts w:hint="eastAsia" w:ascii="宋体" w:hAnsi="宋体" w:eastAsia="宋体" w:cs="宋体"/>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0"/>
                <w:szCs w:val="20"/>
              </w:rPr>
              <w:t>建立有《管理评审控制程序》，于20</w:t>
            </w:r>
            <w:r>
              <w:rPr>
                <w:rFonts w:hint="eastAsia"/>
                <w:sz w:val="20"/>
                <w:szCs w:val="20"/>
                <w:lang w:val="en-US" w:eastAsia="zh-CN"/>
              </w:rPr>
              <w:t>21</w:t>
            </w:r>
            <w:r>
              <w:rPr>
                <w:rFonts w:hint="eastAsia"/>
                <w:sz w:val="20"/>
                <w:szCs w:val="20"/>
              </w:rPr>
              <w:t>年</w:t>
            </w:r>
            <w:r>
              <w:rPr>
                <w:rFonts w:hint="eastAsia"/>
                <w:sz w:val="20"/>
                <w:szCs w:val="20"/>
                <w:lang w:val="en-US" w:eastAsia="zh-CN"/>
              </w:rPr>
              <w:t>4</w:t>
            </w:r>
            <w:r>
              <w:rPr>
                <w:rFonts w:hint="eastAsia"/>
                <w:sz w:val="20"/>
                <w:szCs w:val="20"/>
              </w:rPr>
              <w:t>月</w:t>
            </w:r>
            <w:r>
              <w:rPr>
                <w:rFonts w:hint="eastAsia"/>
                <w:sz w:val="20"/>
                <w:szCs w:val="20"/>
                <w:lang w:val="en-US" w:eastAsia="zh-CN"/>
              </w:rPr>
              <w:t>18</w:t>
            </w:r>
            <w:r>
              <w:rPr>
                <w:rFonts w:hint="eastAsia"/>
                <w:sz w:val="20"/>
                <w:szCs w:val="20"/>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 w:val="20"/>
                <w:szCs w:val="20"/>
              </w:rPr>
              <w:t>提供主要输入材料有：各部门总结，</w:t>
            </w:r>
            <w:r>
              <w:rPr>
                <w:rFonts w:hint="eastAsia" w:ascii="宋体"/>
                <w:kern w:val="0"/>
                <w:sz w:val="20"/>
                <w:szCs w:val="20"/>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0"/>
                <w:szCs w:val="20"/>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sz w:val="20"/>
          <w:u w:val="single"/>
        </w:rPr>
        <w:t>金属表面处理所涉及的相关环境管理活动</w:t>
      </w:r>
      <w:r>
        <w:rPr>
          <w:rFonts w:hint="eastAsia"/>
          <w:sz w:val="20"/>
          <w:u w:val="single"/>
          <w:lang w:eastAsia="zh-CN"/>
        </w:rPr>
        <w:t>。</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1870710</wp:posOffset>
            </wp:positionH>
            <wp:positionV relativeFrom="paragraph">
              <wp:posOffset>635</wp:posOffset>
            </wp:positionV>
            <wp:extent cx="683260" cy="427990"/>
            <wp:effectExtent l="0" t="0" r="2540" b="1397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83260" cy="427990"/>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4384" behindDoc="0" locked="0" layoutInCell="1" allowOverlap="1">
            <wp:simplePos x="0" y="0"/>
            <wp:positionH relativeFrom="column">
              <wp:posOffset>1784985</wp:posOffset>
            </wp:positionH>
            <wp:positionV relativeFrom="paragraph">
              <wp:posOffset>-5080</wp:posOffset>
            </wp:positionV>
            <wp:extent cx="683260" cy="427990"/>
            <wp:effectExtent l="0" t="0" r="2540" b="1397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683260" cy="42799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2021年5月3日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2336" behindDoc="1" locked="0" layoutInCell="1" allowOverlap="1">
                  <wp:simplePos x="0" y="0"/>
                  <wp:positionH relativeFrom="column">
                    <wp:posOffset>575310</wp:posOffset>
                  </wp:positionH>
                  <wp:positionV relativeFrom="paragraph">
                    <wp:posOffset>121285</wp:posOffset>
                  </wp:positionV>
                  <wp:extent cx="664210" cy="415925"/>
                  <wp:effectExtent l="0" t="0" r="6350" b="1079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664210" cy="415925"/>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2650" w:firstLineChars="1200"/>
              <w:rPr>
                <w:rFonts w:hint="default" w:eastAsia="宋体"/>
                <w:b/>
                <w:color w:val="000000"/>
                <w:sz w:val="22"/>
                <w:szCs w:val="22"/>
                <w:lang w:val="en-US" w:eastAsia="zh-CN"/>
              </w:rPr>
            </w:pPr>
            <w:r>
              <w:rPr>
                <w:rFonts w:hint="eastAsia"/>
                <w:b/>
                <w:color w:val="000000"/>
                <w:sz w:val="22"/>
                <w:szCs w:val="22"/>
              </w:rPr>
              <w:t xml:space="preserve">日期： </w:t>
            </w:r>
            <w:r>
              <w:rPr>
                <w:rFonts w:hint="eastAsia"/>
                <w:b/>
                <w:color w:val="000000"/>
                <w:sz w:val="22"/>
                <w:szCs w:val="22"/>
                <w:lang w:val="en-US" w:eastAsia="zh-CN"/>
              </w:rPr>
              <w:t>2021年5月3日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徐峰</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w:t>
            </w:r>
            <w:bookmarkStart w:id="25" w:name="_GoBack"/>
            <w:bookmarkEnd w:id="25"/>
            <w:r>
              <w:rPr>
                <w:rFonts w:hint="eastAsia"/>
                <w:b/>
                <w:color w:val="000000"/>
                <w:sz w:val="22"/>
                <w:szCs w:val="22"/>
              </w:rPr>
              <w:t>日期：</w:t>
            </w:r>
            <w:r>
              <w:rPr>
                <w:rFonts w:hint="eastAsia"/>
                <w:b/>
                <w:color w:val="000000"/>
                <w:sz w:val="22"/>
                <w:szCs w:val="22"/>
                <w:lang w:val="en-US" w:eastAsia="zh-CN"/>
              </w:rPr>
              <w:t>2021年5月3日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527685</wp:posOffset>
                  </wp:positionH>
                  <wp:positionV relativeFrom="paragraph">
                    <wp:posOffset>125095</wp:posOffset>
                  </wp:positionV>
                  <wp:extent cx="718185" cy="449580"/>
                  <wp:effectExtent l="0" t="0" r="13335" b="762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718185" cy="449580"/>
                          </a:xfrm>
                          <a:prstGeom prst="rect">
                            <a:avLst/>
                          </a:prstGeom>
                          <a:noFill/>
                          <a:ln w="9525">
                            <a:noFill/>
                            <a:miter lim="800000"/>
                            <a:headEnd/>
                            <a:tailEnd/>
                          </a:ln>
                        </pic:spPr>
                      </pic:pic>
                    </a:graphicData>
                  </a:graphic>
                </wp:anchor>
              </w:drawing>
            </w:r>
            <w:r>
              <w:rPr>
                <w:b/>
                <w:color w:val="000000"/>
                <w:spacing w:val="-10"/>
                <w:szCs w:val="21"/>
              </w:rPr>
              <w:tab/>
            </w:r>
          </w:p>
          <w:p>
            <w:pPr>
              <w:spacing w:line="280" w:lineRule="exact"/>
              <w:rPr>
                <w:rFonts w:hint="eastAsia"/>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2021年5月3日</w:t>
            </w:r>
          </w:p>
          <w:p>
            <w:pPr>
              <w:spacing w:line="280" w:lineRule="exact"/>
              <w:rPr>
                <w:rFonts w:hint="eastAsia"/>
                <w:b/>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A44400"/>
    <w:rsid w:val="3FBC54E3"/>
    <w:rsid w:val="43880E2E"/>
    <w:rsid w:val="718E7A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2021-05-07T07:16:17Z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D9AB4435A4E3407A81D8C5298D2380B1</vt:lpwstr>
  </property>
</Properties>
</file>