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0330-2021-EO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重庆文正玻璃科技有限公司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E:15.01.02</w:t>
            </w:r>
          </w:p>
          <w:p>
            <w:pPr>
              <w:spacing w:line="240" w:lineRule="exact"/>
              <w:jc w:val="center"/>
              <w:rPr>
                <w:b/>
                <w:color w:val="000000"/>
                <w:sz w:val="20"/>
                <w:szCs w:val="20"/>
              </w:rPr>
            </w:pPr>
            <w:r>
              <w:rPr>
                <w:b/>
                <w:color w:val="000000"/>
                <w:sz w:val="20"/>
                <w:szCs w:val="20"/>
              </w:rPr>
              <w:t>O:15.01.02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冉景洲</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val="de-DE"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重庆文正玻璃科技有限公司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重庆市綦江区桥河工业园区A区</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401420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重庆市綦江区桥河工业园区A区</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401420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李兴杰</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13668049876</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蒋正六</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李兴杰</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2020年8月10日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E：建筑钢化玻璃、建筑夹层玻璃、建筑中空玻璃、防火玻璃（单片）的加工所涉及场所的相关环境管理活动（限3C许可范围内）</w:t>
            </w:r>
          </w:p>
          <w:p>
            <w:pPr>
              <w:spacing w:line="400" w:lineRule="exact"/>
              <w:rPr>
                <w:rFonts w:ascii="宋体" w:hAnsi="宋体"/>
                <w:b/>
                <w:color w:val="000000"/>
                <w:sz w:val="20"/>
                <w:szCs w:val="20"/>
              </w:rPr>
            </w:pPr>
            <w:r>
              <w:rPr>
                <w:rFonts w:ascii="宋体" w:hAnsi="宋体"/>
                <w:b/>
                <w:color w:val="000000"/>
                <w:sz w:val="20"/>
                <w:szCs w:val="20"/>
              </w:rPr>
              <w:t>O：建筑钢化玻璃、建筑夹层玻璃、建筑中空玻璃、防火玻璃（单片）的加工所涉及场所的相关职业健康安全管理活动（限3C许可范围内）</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E：15.01.02</w:t>
            </w:r>
          </w:p>
          <w:p>
            <w:pPr>
              <w:spacing w:line="280" w:lineRule="exact"/>
              <w:rPr>
                <w:rFonts w:ascii="宋体"/>
                <w:b/>
                <w:color w:val="000000"/>
                <w:sz w:val="20"/>
                <w:szCs w:val="20"/>
              </w:rPr>
            </w:pPr>
            <w:r>
              <w:rPr>
                <w:rFonts w:ascii="宋体"/>
                <w:b/>
                <w:color w:val="000000"/>
                <w:sz w:val="20"/>
                <w:szCs w:val="20"/>
              </w:rPr>
              <w:t>O：15.01.02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评审的文件有管理评审、内部审核、管理手册、程序文件等。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b/>
          <w:color w:val="000000"/>
          <w:sz w:val="20"/>
          <w:szCs w:val="20"/>
          <w:lang w:val="en-US" w:eastAsia="zh-CN"/>
        </w:rPr>
        <w:t>行政部</w:t>
      </w:r>
      <w:r>
        <w:rPr>
          <w:rFonts w:hint="eastAsia" w:ascii="宋体" w:hAnsi="宋体"/>
          <w:b/>
          <w:color w:val="000000"/>
          <w:sz w:val="20"/>
          <w:szCs w:val="20"/>
        </w:rPr>
        <w:t>、生产技术部、财务部、供销部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办公室、生产现场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产品：建筑钢化玻璃、建筑夹层玻璃、建筑中空玻璃、防火玻璃（单片）的加工</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管理层、生产技术部、行政部、供销部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行政部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生产地址"/>
            <w:r>
              <w:rPr>
                <w:rFonts w:hint="eastAsia" w:ascii="宋体" w:hAnsi="宋体"/>
                <w:color w:val="000000"/>
                <w:sz w:val="20"/>
                <w:szCs w:val="20"/>
              </w:rPr>
              <w:t>重庆市綦江区桥河工业园区A区</w:t>
            </w:r>
            <w:bookmarkEnd w:id="2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环境执行标准：工业企业厂界环境噪声排放标准（GB12348-2008）3类、大气污染物综合排放标准（GB16297-1996）二级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是否有安全预评价报告，</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z w:val="20"/>
                <w:szCs w:val="20"/>
                <w:highlight w:val="none"/>
                <w:lang w:eastAsia="zh-CN"/>
              </w:rPr>
              <w:t>■</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是否有安全现状评价报告，</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z w:val="20"/>
                <w:szCs w:val="20"/>
                <w:highlight w:val="none"/>
                <w:lang w:eastAsia="zh-CN"/>
              </w:rPr>
              <w:t>■</w:t>
            </w:r>
            <w:r>
              <w:rPr>
                <w:rFonts w:hint="eastAsia" w:ascii="宋体" w:hAnsi="宋体"/>
                <w:color w:val="000000"/>
                <w:spacing w:val="-10"/>
                <w:sz w:val="20"/>
                <w:szCs w:val="20"/>
                <w:highlight w:val="none"/>
              </w:rPr>
              <w:sym w:font="Wingdings 2" w:char="00A3"/>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是否有消防验收报告</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是否申报职业危害场所</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color w:val="000000"/>
                <w:sz w:val="20"/>
                <w:szCs w:val="20"/>
              </w:rPr>
            </w:pPr>
            <w:r>
              <w:rPr>
                <w:rFonts w:hint="eastAsia" w:ascii="宋体"/>
                <w:color w:val="000000"/>
                <w:sz w:val="20"/>
                <w:szCs w:val="20"/>
              </w:rPr>
              <w:t>钢化玻璃生产流程：</w:t>
            </w:r>
          </w:p>
          <w:p>
            <w:pPr>
              <w:rPr>
                <w:rFonts w:hint="eastAsia" w:ascii="宋体"/>
                <w:color w:val="000000"/>
                <w:sz w:val="20"/>
                <w:szCs w:val="20"/>
              </w:rPr>
            </w:pPr>
            <w:r>
              <w:rPr>
                <w:rFonts w:hint="eastAsia" w:ascii="宋体"/>
                <w:color w:val="000000"/>
                <w:sz w:val="20"/>
                <w:szCs w:val="20"/>
              </w:rPr>
              <w:t>玻璃原片——划片——磨边——清洗——钢化（电加热）——冷却验收——成品</w:t>
            </w:r>
          </w:p>
          <w:p>
            <w:pPr>
              <w:rPr>
                <w:rFonts w:hint="eastAsia" w:ascii="宋体"/>
                <w:color w:val="000000"/>
                <w:sz w:val="20"/>
                <w:szCs w:val="20"/>
              </w:rPr>
            </w:pPr>
            <w:r>
              <w:rPr>
                <w:rFonts w:hint="eastAsia" w:ascii="宋体"/>
                <w:color w:val="000000"/>
                <w:sz w:val="20"/>
                <w:szCs w:val="20"/>
              </w:rPr>
              <w:t>夹胶玻璃生产流程：</w:t>
            </w:r>
          </w:p>
          <w:p>
            <w:pPr>
              <w:rPr>
                <w:rFonts w:hint="eastAsia" w:ascii="宋体"/>
                <w:color w:val="000000"/>
                <w:sz w:val="20"/>
                <w:szCs w:val="20"/>
              </w:rPr>
            </w:pPr>
            <w:r>
              <w:rPr>
                <w:rFonts w:hint="eastAsia" w:ascii="宋体"/>
                <w:color w:val="000000"/>
                <w:sz w:val="20"/>
                <w:szCs w:val="20"/>
              </w:rPr>
              <w:t>玻璃原片——划片——磨边——清洗——合胶片（PVB胶片）——进入高压釜——验收——成品</w:t>
            </w:r>
          </w:p>
          <w:p>
            <w:pPr>
              <w:rPr>
                <w:rFonts w:hint="eastAsia" w:ascii="宋体"/>
                <w:color w:val="000000"/>
                <w:sz w:val="20"/>
                <w:szCs w:val="20"/>
              </w:rPr>
            </w:pPr>
            <w:r>
              <w:rPr>
                <w:rFonts w:hint="eastAsia" w:ascii="宋体"/>
                <w:color w:val="000000"/>
                <w:sz w:val="20"/>
                <w:szCs w:val="20"/>
              </w:rPr>
              <w:t>中空玻璃流程:</w:t>
            </w:r>
          </w:p>
          <w:p>
            <w:pPr>
              <w:rPr>
                <w:rFonts w:hint="eastAsia" w:ascii="宋体"/>
                <w:color w:val="000000"/>
                <w:sz w:val="20"/>
                <w:szCs w:val="20"/>
              </w:rPr>
            </w:pPr>
            <w:r>
              <w:rPr>
                <w:rFonts w:hint="eastAsia" w:ascii="宋体"/>
                <w:color w:val="000000"/>
                <w:sz w:val="20"/>
                <w:szCs w:val="20"/>
              </w:rPr>
              <w:t>玻璃原片——划片——磨边——清洗——铝条合片——打胶——验收——成品</w:t>
            </w:r>
          </w:p>
          <w:p>
            <w:pPr>
              <w:rPr>
                <w:rFonts w:hint="eastAsia" w:ascii="宋体"/>
                <w:color w:val="000000"/>
                <w:sz w:val="20"/>
                <w:szCs w:val="20"/>
              </w:rPr>
            </w:pPr>
            <w:r>
              <w:rPr>
                <w:rFonts w:hint="eastAsia" w:ascii="宋体"/>
                <w:color w:val="000000"/>
                <w:sz w:val="20"/>
                <w:szCs w:val="20"/>
              </w:rPr>
              <w:t>防火玻璃流程：</w:t>
            </w:r>
          </w:p>
          <w:p>
            <w:pPr>
              <w:rPr>
                <w:rFonts w:ascii="宋体"/>
                <w:color w:val="000000"/>
                <w:sz w:val="20"/>
                <w:szCs w:val="20"/>
              </w:rPr>
            </w:pPr>
            <w:r>
              <w:rPr>
                <w:rFonts w:hint="eastAsia" w:ascii="宋体"/>
                <w:color w:val="000000"/>
                <w:sz w:val="20"/>
                <w:szCs w:val="20"/>
              </w:rPr>
              <w:t>玻璃原片——合片——贴防火胶条——加防火液——烤干、锟压——检验包装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重要环境因素有：潜在火灾</w:t>
            </w:r>
            <w:r>
              <w:rPr>
                <w:rFonts w:hint="eastAsia" w:ascii="宋体"/>
                <w:color w:val="000000"/>
                <w:sz w:val="20"/>
                <w:szCs w:val="20"/>
                <w:lang w:eastAsia="zh-CN"/>
              </w:rPr>
              <w:t>、</w:t>
            </w:r>
            <w:r>
              <w:rPr>
                <w:rFonts w:hint="eastAsia" w:ascii="宋体"/>
                <w:color w:val="000000"/>
                <w:sz w:val="20"/>
                <w:szCs w:val="20"/>
              </w:rPr>
              <w:t>固废（含危废）的排放</w:t>
            </w:r>
            <w:r>
              <w:rPr>
                <w:rFonts w:hint="eastAsia" w:ascii="宋体"/>
                <w:color w:val="000000"/>
                <w:sz w:val="20"/>
                <w:szCs w:val="20"/>
                <w:lang w:eastAsia="zh-CN"/>
              </w:rPr>
              <w:t>、</w:t>
            </w:r>
            <w:r>
              <w:rPr>
                <w:rFonts w:hint="eastAsia" w:ascii="宋体"/>
                <w:color w:val="000000"/>
                <w:sz w:val="20"/>
                <w:szCs w:val="20"/>
              </w:rPr>
              <w:t>废水排放</w:t>
            </w:r>
            <w:r>
              <w:rPr>
                <w:rFonts w:hint="eastAsia" w:ascii="宋体"/>
                <w:color w:val="000000"/>
                <w:sz w:val="20"/>
                <w:szCs w:val="20"/>
                <w:lang w:eastAsia="zh-CN"/>
              </w:rPr>
              <w:t>、</w:t>
            </w:r>
            <w:r>
              <w:rPr>
                <w:rFonts w:hint="eastAsia" w:ascii="宋体"/>
                <w:color w:val="000000"/>
                <w:sz w:val="20"/>
                <w:szCs w:val="20"/>
              </w:rPr>
              <w:t>噪音</w:t>
            </w:r>
            <w:r>
              <w:rPr>
                <w:rFonts w:hint="eastAsia" w:ascii="宋体"/>
                <w:color w:val="000000"/>
                <w:sz w:val="20"/>
                <w:szCs w:val="20"/>
                <w:lang w:eastAsia="zh-CN"/>
              </w:rPr>
              <w:t>、</w:t>
            </w:r>
            <w:r>
              <w:rPr>
                <w:rFonts w:hint="eastAsia" w:ascii="宋体"/>
                <w:color w:val="000000"/>
                <w:sz w:val="20"/>
                <w:szCs w:val="20"/>
              </w:rPr>
              <w:t>废气排放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针对重要环境因素建立了运行控制程序：（1）环境因素识别与评价程序；（2）运行控制程序。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针对重要环境因素是否明确了监视和测量的要求：绩效监测和测量程序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r>
              <w:rPr>
                <w:rFonts w:hint="eastAsia" w:ascii="宋体"/>
                <w:sz w:val="20"/>
                <w:szCs w:val="20"/>
              </w:rPr>
              <w:t>高温中暑应急预案、火灾应急预案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不可接受风险有：火灾</w:t>
            </w:r>
            <w:r>
              <w:rPr>
                <w:rFonts w:hint="eastAsia" w:ascii="宋体"/>
                <w:color w:val="000000"/>
                <w:sz w:val="20"/>
                <w:szCs w:val="20"/>
                <w:lang w:eastAsia="zh-CN"/>
              </w:rPr>
              <w:t>、</w:t>
            </w:r>
            <w:r>
              <w:rPr>
                <w:rFonts w:hint="eastAsia" w:ascii="宋体"/>
                <w:color w:val="000000"/>
                <w:sz w:val="20"/>
                <w:szCs w:val="20"/>
              </w:rPr>
              <w:t>机械伤害</w:t>
            </w:r>
            <w:r>
              <w:rPr>
                <w:rFonts w:hint="eastAsia" w:ascii="宋体"/>
                <w:color w:val="000000"/>
                <w:sz w:val="20"/>
                <w:szCs w:val="20"/>
                <w:lang w:eastAsia="zh-CN"/>
              </w:rPr>
              <w:t>、</w:t>
            </w:r>
            <w:r>
              <w:rPr>
                <w:rFonts w:hint="eastAsia" w:ascii="宋体"/>
                <w:color w:val="000000"/>
                <w:sz w:val="20"/>
                <w:szCs w:val="20"/>
              </w:rPr>
              <w:t>职业病</w:t>
            </w:r>
            <w:r>
              <w:rPr>
                <w:rFonts w:hint="eastAsia" w:ascii="宋体"/>
                <w:color w:val="000000"/>
                <w:sz w:val="20"/>
                <w:szCs w:val="20"/>
                <w:lang w:eastAsia="zh-CN"/>
              </w:rPr>
              <w:t>、</w:t>
            </w:r>
            <w:r>
              <w:rPr>
                <w:rFonts w:hint="eastAsia" w:ascii="宋体"/>
                <w:color w:val="000000"/>
                <w:sz w:val="20"/>
                <w:szCs w:val="20"/>
              </w:rPr>
              <w:t>触电</w:t>
            </w:r>
            <w:r>
              <w:rPr>
                <w:rFonts w:hint="eastAsia" w:ascii="宋体"/>
                <w:color w:val="000000"/>
                <w:sz w:val="20"/>
                <w:szCs w:val="20"/>
                <w:lang w:eastAsia="zh-CN"/>
              </w:rPr>
              <w:t>、</w:t>
            </w:r>
            <w:r>
              <w:rPr>
                <w:rFonts w:hint="eastAsia" w:ascii="宋体"/>
                <w:color w:val="000000"/>
                <w:sz w:val="20"/>
                <w:szCs w:val="20"/>
              </w:rPr>
              <w:t>烫伤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针对不可接受风险建立了运行控制程序：危险源识别与评价程序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针对不可接受风险是否明确了监视和测量的要求：绩效监测和测量程序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110</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w:t>
            </w:r>
            <w:r>
              <w:rPr>
                <w:rFonts w:hint="eastAsia" w:ascii="宋体" w:hAnsi="宋体"/>
                <w:b/>
                <w:color w:val="000000"/>
                <w:sz w:val="20"/>
                <w:szCs w:val="20"/>
              </w:rPr>
              <w:t>、生产技术部、财务部、供销部</w:t>
            </w:r>
          </w:p>
          <w:p>
            <w:pPr>
              <w:spacing w:line="260" w:lineRule="exact"/>
              <w:rPr>
                <w:rFonts w:ascii="宋体"/>
                <w:b/>
                <w:color w:val="000000"/>
                <w:sz w:val="20"/>
                <w:szCs w:val="20"/>
              </w:rPr>
            </w:pPr>
            <w:r>
              <w:rPr>
                <w:rFonts w:hint="eastAsia" w:ascii="宋体" w:hAnsi="宋体"/>
                <w:b/>
                <w:color w:val="000000"/>
                <w:sz w:val="20"/>
                <w:szCs w:val="20"/>
              </w:rPr>
              <w:t>重点审核场所：办公区域、生产场所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w:t>
            </w:r>
            <w:r>
              <w:rPr>
                <w:rFonts w:hint="eastAsia" w:ascii="宋体" w:hAnsi="宋体"/>
                <w:b/>
                <w:color w:val="000000"/>
                <w:sz w:val="20"/>
                <w:szCs w:val="20"/>
              </w:rPr>
              <w:t>、生产技术部、财务部、供销部</w:t>
            </w:r>
          </w:p>
          <w:p>
            <w:pPr>
              <w:spacing w:line="260" w:lineRule="exact"/>
              <w:rPr>
                <w:rFonts w:ascii="宋体"/>
                <w:b/>
                <w:color w:val="000000"/>
                <w:sz w:val="20"/>
                <w:szCs w:val="20"/>
              </w:rPr>
            </w:pPr>
            <w:r>
              <w:rPr>
                <w:rFonts w:hint="eastAsia" w:ascii="宋体" w:hAnsi="宋体"/>
                <w:b/>
                <w:color w:val="000000"/>
                <w:sz w:val="20"/>
                <w:szCs w:val="20"/>
              </w:rPr>
              <w:t>重点审核场所：办公区域、生产场所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400" w:lineRule="exact"/>
              <w:rPr>
                <w:sz w:val="18"/>
                <w:szCs w:val="18"/>
              </w:rPr>
            </w:pPr>
            <w:r>
              <w:rPr>
                <w:rFonts w:hint="eastAsia" w:ascii="宋体" w:hAnsi="宋体"/>
                <w:b/>
                <w:color w:val="000000"/>
                <w:sz w:val="18"/>
                <w:szCs w:val="18"/>
              </w:rPr>
              <w:t>了解内审的策划</w:t>
            </w:r>
            <w:r>
              <w:rPr>
                <w:rFonts w:ascii="宋体" w:hAnsi="宋体"/>
                <w:b/>
                <w:color w:val="000000"/>
                <w:sz w:val="18"/>
                <w:szCs w:val="18"/>
              </w:rPr>
              <w:t xml:space="preserve">; </w:t>
            </w:r>
            <w:r>
              <w:rPr>
                <w:rFonts w:hint="eastAsia"/>
                <w:sz w:val="18"/>
                <w:szCs w:val="18"/>
              </w:rPr>
              <w:t>建立有《内部审核程序》，于2020年11月10日进行了内部审核。</w:t>
            </w:r>
          </w:p>
          <w:p>
            <w:pPr>
              <w:spacing w:line="400" w:lineRule="exact"/>
              <w:rPr>
                <w:sz w:val="18"/>
                <w:szCs w:val="18"/>
              </w:rPr>
            </w:pPr>
            <w:r>
              <w:rPr>
                <w:rFonts w:hint="eastAsia"/>
                <w:sz w:val="18"/>
                <w:szCs w:val="18"/>
              </w:rPr>
              <w:t>内部审核组由：组长：王桂芝</w:t>
            </w:r>
            <w:r>
              <w:rPr>
                <w:rFonts w:hint="eastAsia"/>
                <w:sz w:val="18"/>
                <w:szCs w:val="18"/>
                <w:lang w:val="en-US" w:eastAsia="zh-CN"/>
              </w:rPr>
              <w:t xml:space="preserve"> </w:t>
            </w:r>
            <w:r>
              <w:rPr>
                <w:rFonts w:hint="eastAsia"/>
                <w:sz w:val="18"/>
                <w:szCs w:val="18"/>
              </w:rPr>
              <w:t>组员：</w:t>
            </w:r>
            <w:r>
              <w:rPr>
                <w:rFonts w:hint="eastAsia"/>
                <w:sz w:val="18"/>
                <w:szCs w:val="18"/>
                <w:lang w:val="en-US" w:eastAsia="zh-CN"/>
              </w:rPr>
              <w:t>李兴杰</w:t>
            </w:r>
            <w:r>
              <w:rPr>
                <w:rFonts w:hint="eastAsia"/>
                <w:sz w:val="18"/>
                <w:szCs w:val="18"/>
              </w:rPr>
              <w:t>。</w:t>
            </w:r>
          </w:p>
          <w:p>
            <w:pPr>
              <w:spacing w:line="260" w:lineRule="exact"/>
              <w:rPr>
                <w:rFonts w:ascii="宋体" w:hAnsi="Times New Roman" w:eastAsia="宋体" w:cs="Times New Roman"/>
                <w:b/>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18"/>
                <w:szCs w:val="18"/>
              </w:rPr>
            </w:pPr>
            <w:r>
              <w:rPr>
                <w:rFonts w:hint="eastAsia" w:ascii="宋体" w:hAnsi="宋体"/>
                <w:b/>
                <w:color w:val="000000"/>
                <w:sz w:val="18"/>
                <w:szCs w:val="18"/>
              </w:rPr>
              <w:t>了解内审是否覆盖了管理体系范围内的活动及标准的要求</w:t>
            </w:r>
            <w:r>
              <w:rPr>
                <w:rFonts w:ascii="宋体" w:hAnsi="宋体"/>
                <w:b/>
                <w:color w:val="000000"/>
                <w:sz w:val="18"/>
                <w:szCs w:val="18"/>
              </w:rPr>
              <w:t xml:space="preserve">; </w:t>
            </w:r>
          </w:p>
          <w:p>
            <w:pPr>
              <w:spacing w:line="400" w:lineRule="exact"/>
              <w:rPr>
                <w:sz w:val="18"/>
                <w:szCs w:val="18"/>
              </w:rPr>
            </w:pPr>
            <w:r>
              <w:rPr>
                <w:rFonts w:hint="eastAsia"/>
                <w:sz w:val="18"/>
                <w:szCs w:val="18"/>
              </w:rPr>
              <w:t>审核范围:管理手册所覆盖的所有部门和要素。</w:t>
            </w:r>
          </w:p>
          <w:p>
            <w:pPr>
              <w:spacing w:line="260" w:lineRule="exact"/>
              <w:rPr>
                <w:rFonts w:ascii="宋体" w:hAnsi="宋体" w:eastAsia="宋体" w:cs="Times New Roman"/>
                <w:b/>
                <w:color w:val="000000"/>
                <w:kern w:val="2"/>
                <w:sz w:val="18"/>
                <w:szCs w:val="18"/>
                <w:lang w:val="en-US" w:eastAsia="zh-CN" w:bidi="ar-SA"/>
              </w:rPr>
            </w:pPr>
            <w:r>
              <w:rPr>
                <w:rFonts w:hint="eastAsia"/>
                <w:sz w:val="18"/>
                <w:szCs w:val="18"/>
              </w:rPr>
              <w:t>审核准则：a.GB/T 24001-2016标准、ISO45001：2018； b.本公司管理体系文 件；c.相关法律法规及其他要求等。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18"/>
                <w:szCs w:val="18"/>
              </w:rPr>
            </w:pPr>
            <w:r>
              <w:rPr>
                <w:rFonts w:hint="eastAsia" w:ascii="宋体" w:hAnsi="宋体"/>
                <w:b/>
                <w:color w:val="000000"/>
                <w:sz w:val="18"/>
                <w:szCs w:val="18"/>
              </w:rPr>
              <w:t>了解内审结论是什么？</w:t>
            </w:r>
          </w:p>
          <w:p>
            <w:pPr>
              <w:spacing w:line="400" w:lineRule="exact"/>
              <w:rPr>
                <w:sz w:val="18"/>
                <w:szCs w:val="18"/>
              </w:rPr>
            </w:pPr>
            <w:r>
              <w:rPr>
                <w:rFonts w:hint="eastAsia"/>
                <w:sz w:val="18"/>
                <w:szCs w:val="18"/>
              </w:rPr>
              <w:t>本次内审对体系文件管理手册、体系文件进行了全面检查，通过审核可以看出管理体系已基本进入了正常状态，但仍存在一些问题，需要完善现场作业及加强各类人员的培训。</w:t>
            </w:r>
          </w:p>
          <w:p>
            <w:pPr>
              <w:spacing w:line="400" w:lineRule="exact"/>
              <w:rPr>
                <w:sz w:val="18"/>
                <w:szCs w:val="18"/>
              </w:rPr>
            </w:pPr>
            <w:r>
              <w:rPr>
                <w:rFonts w:hint="eastAsia"/>
                <w:sz w:val="18"/>
                <w:szCs w:val="18"/>
              </w:rPr>
              <w:t>各部门需要对内审开出的不符合项报告认真整改，并做到举一反三，以点带面，通过纠正预防措施的执行，使管理体系正常而有效运行。</w:t>
            </w:r>
          </w:p>
          <w:p>
            <w:pPr>
              <w:spacing w:line="400" w:lineRule="exact"/>
              <w:rPr>
                <w:sz w:val="18"/>
                <w:szCs w:val="18"/>
              </w:rPr>
            </w:pPr>
            <w:r>
              <w:rPr>
                <w:rFonts w:hint="eastAsia"/>
                <w:sz w:val="18"/>
                <w:szCs w:val="18"/>
              </w:rPr>
              <w:t>管理体系运行符合标准要求，实施基本有效，可以如期申请认证机构的正式审核。</w:t>
            </w:r>
          </w:p>
          <w:p>
            <w:pPr>
              <w:spacing w:line="260" w:lineRule="exact"/>
              <w:rPr>
                <w:rFonts w:ascii="宋体" w:hAnsi="宋体" w:eastAsia="宋体" w:cs="Times New Roman"/>
                <w:b/>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Times New Roman" w:eastAsia="宋体" w:cs="Times New Roman"/>
                <w:b/>
                <w:color w:val="000000"/>
                <w:kern w:val="2"/>
                <w:sz w:val="18"/>
                <w:szCs w:val="18"/>
                <w:lang w:val="en-US" w:eastAsia="zh-CN" w:bidi="ar-SA"/>
              </w:rPr>
            </w:pPr>
            <w:r>
              <w:rPr>
                <w:rFonts w:hint="eastAsia" w:ascii="宋体" w:hAnsi="宋体"/>
                <w:b/>
                <w:color w:val="000000"/>
                <w:sz w:val="18"/>
                <w:szCs w:val="18"/>
              </w:rPr>
              <w:t>了解管理评审的策划</w:t>
            </w:r>
            <w:r>
              <w:rPr>
                <w:rFonts w:ascii="宋体" w:hAnsi="宋体"/>
                <w:b/>
                <w:color w:val="000000"/>
                <w:sz w:val="18"/>
                <w:szCs w:val="18"/>
              </w:rPr>
              <w:t>;</w:t>
            </w:r>
            <w:r>
              <w:rPr>
                <w:rFonts w:hint="eastAsia" w:ascii="宋体" w:hAnsi="宋体" w:cs="宋体"/>
                <w:w w:val="90"/>
                <w:sz w:val="18"/>
                <w:szCs w:val="18"/>
              </w:rPr>
              <w:t xml:space="preserve"> </w:t>
            </w:r>
            <w:r>
              <w:rPr>
                <w:rFonts w:hint="eastAsia"/>
                <w:sz w:val="18"/>
                <w:szCs w:val="18"/>
              </w:rPr>
              <w:t>建立有《管理评审程序》，于2020年12月10日就管理方针和目标，评价和审定管理体系运行的适宜性、充分性和有效性进行了评审。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Times New Roman" w:eastAsia="宋体" w:cs="Times New Roman"/>
                <w:b/>
                <w:color w:val="000000"/>
                <w:kern w:val="2"/>
                <w:sz w:val="18"/>
                <w:szCs w:val="18"/>
                <w:lang w:val="en-US" w:eastAsia="zh-CN" w:bidi="ar-SA"/>
              </w:rPr>
            </w:pPr>
            <w:r>
              <w:rPr>
                <w:rFonts w:hint="eastAsia" w:ascii="宋体" w:hAnsi="宋体"/>
                <w:b/>
                <w:color w:val="000000"/>
                <w:sz w:val="18"/>
                <w:szCs w:val="18"/>
              </w:rPr>
              <w:t>了解管理评审输入是否充分</w:t>
            </w:r>
            <w:r>
              <w:rPr>
                <w:rFonts w:ascii="宋体" w:hAnsi="宋体"/>
                <w:b/>
                <w:color w:val="000000"/>
                <w:sz w:val="18"/>
                <w:szCs w:val="18"/>
              </w:rPr>
              <w:t xml:space="preserve">; </w:t>
            </w:r>
            <w:r>
              <w:rPr>
                <w:rFonts w:hint="eastAsia" w:ascii="宋体" w:hAnsi="宋体"/>
                <w:kern w:val="0"/>
                <w:sz w:val="18"/>
                <w:szCs w:val="18"/>
              </w:rPr>
              <w:t>提供主要输入材料有：各部门总结，</w:t>
            </w:r>
            <w:r>
              <w:rPr>
                <w:rFonts w:hint="eastAsia" w:ascii="宋体"/>
                <w:kern w:val="0"/>
                <w:sz w:val="18"/>
                <w:szCs w:val="18"/>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Times New Roman" w:eastAsia="宋体" w:cs="Times New Roman"/>
                <w:b/>
                <w:color w:val="000000"/>
                <w:kern w:val="2"/>
                <w:sz w:val="18"/>
                <w:szCs w:val="18"/>
                <w:lang w:val="en-US" w:eastAsia="zh-CN" w:bidi="ar-SA"/>
              </w:rPr>
            </w:pPr>
            <w:r>
              <w:rPr>
                <w:rFonts w:hint="eastAsia" w:ascii="宋体" w:hAnsi="宋体"/>
                <w:b/>
                <w:color w:val="000000"/>
                <w:sz w:val="18"/>
                <w:szCs w:val="18"/>
              </w:rPr>
              <w:t>了解管理评审结论</w:t>
            </w:r>
            <w:r>
              <w:rPr>
                <w:rFonts w:ascii="宋体" w:hAnsi="宋体"/>
                <w:b/>
                <w:color w:val="000000"/>
                <w:sz w:val="18"/>
                <w:szCs w:val="18"/>
              </w:rPr>
              <w:t xml:space="preserve">; </w:t>
            </w:r>
            <w:r>
              <w:rPr>
                <w:rFonts w:hint="eastAsia"/>
                <w:sz w:val="18"/>
                <w:szCs w:val="18"/>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z w:val="20"/>
                <w:szCs w:val="20"/>
                <w:lang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w:t>
      </w:r>
      <w:r>
        <w:rPr>
          <w:rFonts w:hint="eastAsia" w:ascii="宋体" w:hAnsi="宋体"/>
          <w:b/>
          <w:color w:val="000000"/>
          <w:sz w:val="20"/>
          <w:szCs w:val="20"/>
        </w:rPr>
        <w:t>建筑钢化玻璃、建筑夹层玻璃、建筑中空玻璃、防火玻璃（单片）的加工所涉及场所的相关环境管理活动（限3C许可范围内）</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hint="eastAsia" w:ascii="宋体" w:hAnsi="宋体"/>
          <w:b/>
          <w:color w:val="000000"/>
          <w:sz w:val="20"/>
          <w:szCs w:val="20"/>
        </w:rPr>
        <w:t>建筑钢化玻璃、建筑夹层玻璃、建筑中空玻璃、防火玻璃（单片）的加工所涉及场所的相关职业健康安全管理活动（限3C许可范围内）</w:t>
      </w:r>
    </w:p>
    <w:p>
      <w:pPr>
        <w:spacing w:before="156" w:beforeLines="50" w:after="62"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62336" behindDoc="0" locked="0" layoutInCell="1" allowOverlap="1">
            <wp:simplePos x="0" y="0"/>
            <wp:positionH relativeFrom="column">
              <wp:posOffset>1790065</wp:posOffset>
            </wp:positionH>
            <wp:positionV relativeFrom="paragraph">
              <wp:posOffset>337820</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3" w:firstLineChars="400"/>
        <w:rPr>
          <w:rFonts w:ascii="宋体"/>
          <w:b/>
          <w:color w:val="000000"/>
        </w:rPr>
      </w:pPr>
      <w:r>
        <w:rPr>
          <w:rFonts w:hint="eastAsia"/>
          <w:b/>
          <w:sz w:val="22"/>
          <w:szCs w:val="22"/>
        </w:rPr>
        <w:drawing>
          <wp:anchor distT="0" distB="0" distL="114300" distR="114300" simplePos="0" relativeHeight="251661312" behindDoc="0" locked="0" layoutInCell="1" allowOverlap="1">
            <wp:simplePos x="0" y="0"/>
            <wp:positionH relativeFrom="column">
              <wp:posOffset>2518410</wp:posOffset>
            </wp:positionH>
            <wp:positionV relativeFrom="paragraph">
              <wp:posOffset>77470</wp:posOffset>
            </wp:positionV>
            <wp:extent cx="499110" cy="312420"/>
            <wp:effectExtent l="0" t="0" r="3810" b="7620"/>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7" cstate="print"/>
                    <a:srcRect/>
                    <a:stretch>
                      <a:fillRect/>
                    </a:stretch>
                  </pic:blipFill>
                  <pic:spPr>
                    <a:xfrm>
                      <a:off x="0" y="0"/>
                      <a:ext cx="499110" cy="312420"/>
                    </a:xfrm>
                    <a:prstGeom prst="rect">
                      <a:avLst/>
                    </a:prstGeom>
                    <a:noFill/>
                    <a:ln w="9525">
                      <a:noFill/>
                      <a:miter lim="800000"/>
                      <a:headEnd/>
                      <a:tailEnd/>
                    </a:ln>
                  </pic:spPr>
                </pic:pic>
              </a:graphicData>
            </a:graphic>
          </wp:anchor>
        </w:drawing>
      </w:r>
      <w:r>
        <w:rPr>
          <w:rFonts w:hint="eastAsia" w:eastAsia="宋体"/>
          <w:sz w:val="22"/>
          <w:szCs w:val="22"/>
          <w:lang w:eastAsia="zh-CN"/>
        </w:rPr>
        <w:drawing>
          <wp:anchor distT="0" distB="0" distL="114300" distR="114300" simplePos="0" relativeHeight="251663360" behindDoc="1" locked="0" layoutInCell="1" allowOverlap="1">
            <wp:simplePos x="0" y="0"/>
            <wp:positionH relativeFrom="column">
              <wp:posOffset>1801495</wp:posOffset>
            </wp:positionH>
            <wp:positionV relativeFrom="paragraph">
              <wp:posOffset>15240</wp:posOffset>
            </wp:positionV>
            <wp:extent cx="590550" cy="431800"/>
            <wp:effectExtent l="0" t="0" r="3810" b="10160"/>
            <wp:wrapNone/>
            <wp:docPr id="13" name="图片 13" descr="97bfdd5f0abd6efcdf2006ab13cd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97bfdd5f0abd6efcdf2006ab13cd975"/>
                    <pic:cNvPicPr>
                      <a:picLocks noChangeAspect="1"/>
                    </pic:cNvPicPr>
                  </pic:nvPicPr>
                  <pic:blipFill>
                    <a:blip r:embed="rId8"/>
                    <a:stretch>
                      <a:fillRect/>
                    </a:stretch>
                  </pic:blipFill>
                  <pic:spPr>
                    <a:xfrm>
                      <a:off x="0" y="0"/>
                      <a:ext cx="590550" cy="431800"/>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2021年5月4日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rPr>
                <w:rFonts w:hint="eastAsia"/>
                <w:b/>
                <w:sz w:val="22"/>
                <w:szCs w:val="22"/>
              </w:rPr>
              <w:drawing>
                <wp:anchor distT="0" distB="0" distL="114300" distR="114300" simplePos="0" relativeHeight="251664384" behindDoc="0" locked="0" layoutInCell="1" allowOverlap="1">
                  <wp:simplePos x="0" y="0"/>
                  <wp:positionH relativeFrom="column">
                    <wp:posOffset>532765</wp:posOffset>
                  </wp:positionH>
                  <wp:positionV relativeFrom="paragraph">
                    <wp:posOffset>20955</wp:posOffset>
                  </wp:positionV>
                  <wp:extent cx="323850" cy="335280"/>
                  <wp:effectExtent l="0" t="0" r="11430" b="0"/>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sz w:val="22"/>
                <w:szCs w:val="22"/>
              </w:rPr>
              <w:t>审核员：</w:t>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日期：2021年</w:t>
            </w:r>
            <w:r>
              <w:rPr>
                <w:rFonts w:hint="eastAsia"/>
                <w:b/>
                <w:color w:val="000000"/>
                <w:sz w:val="22"/>
                <w:szCs w:val="22"/>
                <w:lang w:val="en-US" w:eastAsia="zh-CN"/>
              </w:rPr>
              <w:t>5</w:t>
            </w:r>
            <w:r>
              <w:rPr>
                <w:rFonts w:hint="eastAsia"/>
                <w:b/>
                <w:color w:val="000000"/>
                <w:sz w:val="22"/>
                <w:szCs w:val="22"/>
              </w:rPr>
              <w:t>月</w:t>
            </w:r>
            <w:r>
              <w:rPr>
                <w:rFonts w:hint="eastAsia"/>
                <w:b/>
                <w:color w:val="000000"/>
                <w:sz w:val="22"/>
                <w:szCs w:val="22"/>
                <w:lang w:val="en-US" w:eastAsia="zh-CN"/>
              </w:rPr>
              <w:t>4</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日期：2021年 </w:t>
            </w:r>
            <w:r>
              <w:rPr>
                <w:rFonts w:hint="eastAsia"/>
                <w:b/>
                <w:color w:val="000000"/>
                <w:sz w:val="22"/>
                <w:szCs w:val="22"/>
                <w:lang w:val="en-US" w:eastAsia="zh-CN"/>
              </w:rPr>
              <w:t>5</w:t>
            </w:r>
            <w:r>
              <w:rPr>
                <w:rFonts w:hint="eastAsia"/>
                <w:b/>
                <w:color w:val="000000"/>
                <w:sz w:val="22"/>
                <w:szCs w:val="22"/>
              </w:rPr>
              <w:t xml:space="preserve">月 </w:t>
            </w:r>
            <w:r>
              <w:rPr>
                <w:rFonts w:hint="eastAsia"/>
                <w:b/>
                <w:color w:val="000000"/>
                <w:sz w:val="22"/>
                <w:szCs w:val="22"/>
                <w:lang w:val="en-US" w:eastAsia="zh-CN"/>
              </w:rPr>
              <w:t>4</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sz w:val="22"/>
                <w:szCs w:val="22"/>
              </w:rPr>
              <w:drawing>
                <wp:anchor distT="0" distB="0" distL="114300" distR="114300" simplePos="0" relativeHeight="251665408" behindDoc="0" locked="0" layoutInCell="1" allowOverlap="1">
                  <wp:simplePos x="0" y="0"/>
                  <wp:positionH relativeFrom="column">
                    <wp:posOffset>628015</wp:posOffset>
                  </wp:positionH>
                  <wp:positionV relativeFrom="paragraph">
                    <wp:posOffset>197485</wp:posOffset>
                  </wp:positionV>
                  <wp:extent cx="323850" cy="335280"/>
                  <wp:effectExtent l="0" t="0" r="11430" b="0"/>
                  <wp:wrapNone/>
                  <wp:docPr id="4"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 xml:space="preserve">日期：2021年 </w:t>
            </w:r>
            <w:r>
              <w:rPr>
                <w:rFonts w:hint="eastAsia"/>
                <w:b/>
                <w:color w:val="000000"/>
                <w:sz w:val="22"/>
                <w:szCs w:val="22"/>
                <w:lang w:val="en-US" w:eastAsia="zh-CN"/>
              </w:rPr>
              <w:t>5</w:t>
            </w:r>
            <w:bookmarkStart w:id="25" w:name="_GoBack"/>
            <w:bookmarkEnd w:id="25"/>
            <w:r>
              <w:rPr>
                <w:rFonts w:hint="eastAsia"/>
                <w:b/>
                <w:color w:val="000000"/>
                <w:sz w:val="22"/>
                <w:szCs w:val="22"/>
              </w:rPr>
              <w:t xml:space="preserve">月 </w:t>
            </w:r>
            <w:r>
              <w:rPr>
                <w:rFonts w:hint="eastAsia"/>
                <w:b/>
                <w:color w:val="000000"/>
                <w:sz w:val="22"/>
                <w:szCs w:val="22"/>
                <w:lang w:val="en-US" w:eastAsia="zh-CN"/>
              </w:rPr>
              <w:t>4</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DD049F"/>
    <w:rsid w:val="7CC64D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2021-05-09T08:07:08Z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13649A54DFCB4C92B0CC1255370CC11A</vt:lpwstr>
  </property>
</Properties>
</file>