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重庆文正玻璃科技有限公司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0330-2021-EO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color w:val="222222"/>
                <w:szCs w:val="21"/>
                <w:shd w:val="clear" w:color="auto" w:fill="FFFFFF"/>
              </w:rPr>
              <w:t>915002226761358452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rFonts w:hint="eastAsia" w:eastAsia="宋体"/>
                <w:color w:val="000000"/>
                <w:szCs w:val="21"/>
                <w:lang w:eastAsia="zh-CN"/>
              </w:rPr>
            </w:pPr>
            <w:r>
              <w:rPr>
                <w:rFonts w:hint="eastAsia"/>
                <w:color w:val="000000"/>
                <w:szCs w:val="21"/>
              </w:rPr>
              <w:t>提供多组织机构说明材料和契约/协议等法律地位证明材料复印件（针对申请母子证书的组织）</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提供环境影响评价批准书，编号：渝（綦）环准｛2020｝051号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提供文正玻璃加工生产线扩建项目（一阶段）环境保护验收意见</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3943350</wp:posOffset>
                  </wp:positionH>
                  <wp:positionV relativeFrom="paragraph">
                    <wp:posOffset>104140</wp:posOffset>
                  </wp:positionV>
                  <wp:extent cx="371475" cy="341630"/>
                  <wp:effectExtent l="0" t="0" r="9525" b="889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5"/>
                          <a:stretch>
                            <a:fillRect/>
                          </a:stretch>
                        </pic:blipFill>
                        <pic:spPr>
                          <a:xfrm>
                            <a:off x="0" y="0"/>
                            <a:ext cx="371475" cy="34163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2021年5月4日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326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2021-05-09T06:46:27Z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5D26C8C487344342A8E02026C33DDAC9</vt:lpwstr>
  </property>
</Properties>
</file>