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宋体" w:hAnsi="宋体"/>
          <w:szCs w:val="21"/>
        </w:rPr>
        <w:t>重庆友友利鸿玻璃有限公司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052"/>
        <w:gridCol w:w="1367"/>
        <w:gridCol w:w="2556"/>
        <w:gridCol w:w="553"/>
        <w:gridCol w:w="85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52" w:type="dxa"/>
            <w:vAlign w:val="center"/>
          </w:tcPr>
          <w:p>
            <w:pPr>
              <w:jc w:val="center"/>
              <w:rPr>
                <w:b/>
                <w:sz w:val="21"/>
                <w:szCs w:val="21"/>
              </w:rPr>
            </w:pPr>
            <w:r>
              <w:rPr>
                <w:rFonts w:hint="eastAsia"/>
                <w:b/>
                <w:sz w:val="21"/>
                <w:szCs w:val="21"/>
              </w:rPr>
              <w:t>职务</w:t>
            </w:r>
          </w:p>
        </w:tc>
        <w:tc>
          <w:tcPr>
            <w:tcW w:w="1367" w:type="dxa"/>
            <w:vAlign w:val="center"/>
          </w:tcPr>
          <w:p>
            <w:pPr>
              <w:jc w:val="center"/>
              <w:rPr>
                <w:b/>
                <w:sz w:val="21"/>
                <w:szCs w:val="21"/>
              </w:rPr>
            </w:pPr>
            <w:r>
              <w:rPr>
                <w:rFonts w:hint="eastAsia"/>
                <w:b/>
                <w:sz w:val="21"/>
                <w:szCs w:val="21"/>
              </w:rPr>
              <w:t>注册级别</w:t>
            </w:r>
          </w:p>
        </w:tc>
        <w:tc>
          <w:tcPr>
            <w:tcW w:w="2556" w:type="dxa"/>
            <w:vAlign w:val="center"/>
          </w:tcPr>
          <w:p>
            <w:pPr>
              <w:jc w:val="center"/>
              <w:rPr>
                <w:b/>
                <w:sz w:val="21"/>
                <w:szCs w:val="21"/>
              </w:rPr>
            </w:pPr>
            <w:r>
              <w:rPr>
                <w:rFonts w:hint="eastAsia"/>
                <w:b/>
                <w:sz w:val="21"/>
                <w:szCs w:val="21"/>
              </w:rPr>
              <w:t>审核员注册号</w:t>
            </w:r>
          </w:p>
        </w:tc>
        <w:tc>
          <w:tcPr>
            <w:tcW w:w="1403" w:type="dxa"/>
            <w:gridSpan w:val="2"/>
            <w:vAlign w:val="center"/>
          </w:tcPr>
          <w:p>
            <w:pPr>
              <w:jc w:val="center"/>
              <w:rPr>
                <w:b/>
                <w:sz w:val="21"/>
                <w:szCs w:val="21"/>
              </w:rPr>
            </w:pPr>
            <w:r>
              <w:rPr>
                <w:rFonts w:hint="eastAsia"/>
                <w:b/>
                <w:sz w:val="21"/>
                <w:szCs w:val="21"/>
              </w:rPr>
              <w:t>专业代码</w:t>
            </w:r>
          </w:p>
        </w:tc>
        <w:tc>
          <w:tcPr>
            <w:tcW w:w="161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052" w:type="dxa"/>
            <w:vAlign w:val="center"/>
          </w:tcPr>
          <w:p>
            <w:pPr>
              <w:jc w:val="center"/>
              <w:rPr>
                <w:b/>
                <w:sz w:val="21"/>
                <w:szCs w:val="21"/>
              </w:rPr>
            </w:pPr>
            <w:r>
              <w:rPr>
                <w:b/>
                <w:sz w:val="21"/>
                <w:szCs w:val="21"/>
              </w:rPr>
              <w:t>组长</w:t>
            </w:r>
          </w:p>
        </w:tc>
        <w:tc>
          <w:tcPr>
            <w:tcW w:w="136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556" w:type="dxa"/>
            <w:vAlign w:val="center"/>
          </w:tcPr>
          <w:p>
            <w:pPr>
              <w:jc w:val="center"/>
              <w:rPr>
                <w:b/>
                <w:sz w:val="21"/>
                <w:szCs w:val="21"/>
              </w:rPr>
            </w:pPr>
            <w:r>
              <w:rPr>
                <w:b/>
                <w:sz w:val="21"/>
                <w:szCs w:val="21"/>
              </w:rPr>
              <w:t>2019-N1QMS-3093566</w:t>
            </w:r>
          </w:p>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403" w:type="dxa"/>
            <w:gridSpan w:val="2"/>
            <w:vAlign w:val="center"/>
          </w:tcPr>
          <w:p>
            <w:pPr>
              <w:jc w:val="center"/>
              <w:rPr>
                <w:b/>
                <w:sz w:val="21"/>
                <w:szCs w:val="21"/>
              </w:rPr>
            </w:pPr>
            <w:r>
              <w:rPr>
                <w:b/>
                <w:sz w:val="21"/>
                <w:szCs w:val="21"/>
              </w:rPr>
              <w:t>Q:15.01.02</w:t>
            </w:r>
          </w:p>
          <w:p>
            <w:pPr>
              <w:jc w:val="center"/>
              <w:rPr>
                <w:b/>
                <w:sz w:val="21"/>
                <w:szCs w:val="21"/>
              </w:rPr>
            </w:pPr>
            <w:r>
              <w:rPr>
                <w:b/>
                <w:sz w:val="21"/>
                <w:szCs w:val="21"/>
              </w:rPr>
              <w:t>E:15.01.02</w:t>
            </w:r>
          </w:p>
          <w:p>
            <w:pPr>
              <w:jc w:val="center"/>
              <w:rPr>
                <w:b/>
                <w:sz w:val="21"/>
                <w:szCs w:val="21"/>
              </w:rPr>
            </w:pPr>
            <w:r>
              <w:rPr>
                <w:b/>
                <w:sz w:val="21"/>
                <w:szCs w:val="21"/>
              </w:rPr>
              <w:t>O:15.01.02</w:t>
            </w:r>
          </w:p>
        </w:tc>
        <w:tc>
          <w:tcPr>
            <w:tcW w:w="1614"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052" w:type="dxa"/>
            <w:vAlign w:val="center"/>
          </w:tcPr>
          <w:p>
            <w:pPr>
              <w:jc w:val="center"/>
              <w:rPr>
                <w:b/>
                <w:sz w:val="21"/>
                <w:szCs w:val="21"/>
              </w:rPr>
            </w:pPr>
            <w:r>
              <w:rPr>
                <w:b/>
                <w:sz w:val="21"/>
                <w:szCs w:val="21"/>
              </w:rPr>
              <w:t>组员</w:t>
            </w:r>
          </w:p>
        </w:tc>
        <w:tc>
          <w:tcPr>
            <w:tcW w:w="1367" w:type="dxa"/>
            <w:vAlign w:val="center"/>
          </w:tcPr>
          <w:p>
            <w:pPr>
              <w:jc w:val="center"/>
              <w:rPr>
                <w:b/>
                <w:sz w:val="21"/>
                <w:szCs w:val="21"/>
              </w:rPr>
            </w:pPr>
            <w:r>
              <w:rPr>
                <w:b/>
                <w:sz w:val="21"/>
                <w:szCs w:val="21"/>
              </w:rPr>
              <w:t>Q:审核员</w:t>
            </w:r>
          </w:p>
        </w:tc>
        <w:tc>
          <w:tcPr>
            <w:tcW w:w="2556" w:type="dxa"/>
            <w:vAlign w:val="center"/>
          </w:tcPr>
          <w:p>
            <w:pPr>
              <w:jc w:val="center"/>
              <w:rPr>
                <w:b/>
                <w:sz w:val="21"/>
                <w:szCs w:val="21"/>
              </w:rPr>
            </w:pPr>
            <w:r>
              <w:rPr>
                <w:b/>
                <w:sz w:val="21"/>
                <w:szCs w:val="21"/>
              </w:rPr>
              <w:t>2018-N1QMS-2207381</w:t>
            </w:r>
          </w:p>
        </w:tc>
        <w:tc>
          <w:tcPr>
            <w:tcW w:w="1403" w:type="dxa"/>
            <w:gridSpan w:val="2"/>
            <w:vAlign w:val="center"/>
          </w:tcPr>
          <w:p>
            <w:pPr>
              <w:jc w:val="center"/>
              <w:rPr>
                <w:b/>
                <w:sz w:val="21"/>
                <w:szCs w:val="21"/>
              </w:rPr>
            </w:pPr>
          </w:p>
        </w:tc>
        <w:tc>
          <w:tcPr>
            <w:tcW w:w="1614"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052" w:type="dxa"/>
            <w:vAlign w:val="center"/>
          </w:tcPr>
          <w:p>
            <w:pPr>
              <w:jc w:val="center"/>
              <w:rPr>
                <w:b/>
                <w:sz w:val="21"/>
                <w:szCs w:val="21"/>
              </w:rPr>
            </w:pPr>
            <w:r>
              <w:rPr>
                <w:b/>
                <w:sz w:val="21"/>
                <w:szCs w:val="21"/>
              </w:rPr>
              <w:t>组员</w:t>
            </w:r>
          </w:p>
        </w:tc>
        <w:tc>
          <w:tcPr>
            <w:tcW w:w="136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556"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403" w:type="dxa"/>
            <w:gridSpan w:val="2"/>
            <w:vAlign w:val="center"/>
          </w:tcPr>
          <w:p>
            <w:pPr>
              <w:jc w:val="center"/>
              <w:rPr>
                <w:b/>
                <w:sz w:val="21"/>
                <w:szCs w:val="21"/>
              </w:rPr>
            </w:pPr>
          </w:p>
        </w:tc>
        <w:tc>
          <w:tcPr>
            <w:tcW w:w="1614"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052" w:type="dxa"/>
          </w:tcPr>
          <w:p>
            <w:pPr>
              <w:rPr>
                <w:b/>
                <w:sz w:val="21"/>
                <w:szCs w:val="21"/>
              </w:rPr>
            </w:pPr>
          </w:p>
        </w:tc>
        <w:tc>
          <w:tcPr>
            <w:tcW w:w="1367" w:type="dxa"/>
          </w:tcPr>
          <w:p>
            <w:pPr>
              <w:rPr>
                <w:b/>
                <w:sz w:val="21"/>
                <w:szCs w:val="21"/>
              </w:rPr>
            </w:pPr>
          </w:p>
        </w:tc>
        <w:tc>
          <w:tcPr>
            <w:tcW w:w="2556" w:type="dxa"/>
          </w:tcPr>
          <w:p>
            <w:pPr>
              <w:rPr>
                <w:b/>
                <w:sz w:val="21"/>
                <w:szCs w:val="21"/>
              </w:rPr>
            </w:pPr>
          </w:p>
        </w:tc>
        <w:tc>
          <w:tcPr>
            <w:tcW w:w="140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52" w:type="dxa"/>
            <w:vAlign w:val="center"/>
          </w:tcPr>
          <w:p>
            <w:pPr>
              <w:jc w:val="center"/>
              <w:rPr>
                <w:b/>
                <w:sz w:val="21"/>
                <w:szCs w:val="21"/>
              </w:rPr>
            </w:pPr>
            <w:r>
              <w:rPr>
                <w:rFonts w:hint="eastAsia"/>
                <w:b/>
                <w:sz w:val="21"/>
                <w:szCs w:val="21"/>
              </w:rPr>
              <w:t>角色</w:t>
            </w:r>
          </w:p>
        </w:tc>
        <w:tc>
          <w:tcPr>
            <w:tcW w:w="6940"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052" w:type="dxa"/>
            <w:vAlign w:val="center"/>
          </w:tcPr>
          <w:p>
            <w:pPr>
              <w:jc w:val="center"/>
              <w:rPr>
                <w:b/>
                <w:sz w:val="21"/>
                <w:szCs w:val="21"/>
              </w:rPr>
            </w:pPr>
          </w:p>
        </w:tc>
        <w:tc>
          <w:tcPr>
            <w:tcW w:w="6940" w:type="dxa"/>
            <w:gridSpan w:val="5"/>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w:t>
      </w:r>
      <w:r>
        <w:rPr>
          <w:rFonts w:hint="eastAsia"/>
          <w:b/>
          <w:sz w:val="21"/>
          <w:szCs w:val="21"/>
          <w:lang w:val="en-US" w:eastAsia="zh-CN"/>
        </w:rPr>
        <w:t xml:space="preserve"> </w:t>
      </w:r>
      <w:r>
        <w:rPr>
          <w:rFonts w:hint="eastAsia"/>
          <w:b/>
          <w:sz w:val="21"/>
          <w:szCs w:val="21"/>
        </w:rPr>
        <w:t>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241"/>
        <w:gridCol w:w="43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000000" w:themeColor="text1"/>
                <w:sz w:val="21"/>
              </w:rPr>
              <w:t>重庆友友利鸿玻璃有限公司</w:t>
            </w:r>
            <w:bookmarkEnd w:id="9"/>
          </w:p>
        </w:tc>
        <w:tc>
          <w:tcPr>
            <w:tcW w:w="1672" w:type="dxa"/>
            <w:gridSpan w:val="2"/>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highlight w:val="none"/>
                <w:lang w:val="en-US" w:eastAsia="zh-CN"/>
              </w:rPr>
              <w:t>45人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重庆市万州化工园区北环路16号</w:t>
            </w:r>
            <w:bookmarkEnd w:id="10"/>
          </w:p>
        </w:tc>
        <w:tc>
          <w:tcPr>
            <w:tcW w:w="1672" w:type="dxa"/>
            <w:gridSpan w:val="2"/>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404100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重庆市万州化工园区北环路16号</w:t>
            </w:r>
            <w:bookmarkEnd w:id="12"/>
          </w:p>
        </w:tc>
        <w:tc>
          <w:tcPr>
            <w:tcW w:w="1672" w:type="dxa"/>
            <w:gridSpan w:val="2"/>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404100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重庆市万州化工园区北环路16号</w:t>
            </w:r>
            <w:bookmarkEnd w:id="14"/>
          </w:p>
        </w:tc>
        <w:tc>
          <w:tcPr>
            <w:tcW w:w="1672" w:type="dxa"/>
            <w:gridSpan w:val="2"/>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404100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李欢欢</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15215232788</w:t>
            </w:r>
            <w:bookmarkEnd w:id="17"/>
          </w:p>
        </w:tc>
        <w:tc>
          <w:tcPr>
            <w:tcW w:w="1672" w:type="dxa"/>
            <w:gridSpan w:val="2"/>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李宜骏</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李宜骏</w:t>
            </w:r>
          </w:p>
        </w:tc>
        <w:tc>
          <w:tcPr>
            <w:tcW w:w="1672" w:type="dxa"/>
            <w:gridSpan w:val="2"/>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李欢欢</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2021年05月07日 上午至2021年05月07日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4"/>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7"/>
          </w:tcPr>
          <w:p>
            <w:pPr>
              <w:rPr>
                <w:rFonts w:hint="eastAsia"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E勾选Add1"/>
            <w:r>
              <w:rPr>
                <w:sz w:val="20"/>
              </w:rPr>
              <w:t>中空玻璃、夹胶玻璃和钢化玻璃的生产</w:t>
            </w:r>
          </w:p>
          <w:p>
            <w:pPr>
              <w:spacing w:line="360" w:lineRule="exact"/>
              <w:rPr>
                <w:rFonts w:ascii="宋体" w:hAnsi="宋体"/>
                <w:b/>
                <w:sz w:val="21"/>
                <w:szCs w:val="21"/>
              </w:rPr>
            </w:pPr>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r>
              <w:rPr>
                <w:sz w:val="20"/>
              </w:rPr>
              <w:t>中空玻璃、夹胶玻璃和钢化玻璃的生产及其所涉及场所的相关环境管理活动</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r>
              <w:rPr>
                <w:sz w:val="20"/>
              </w:rPr>
              <w:t>中空玻璃、夹胶玻璃和钢化玻璃的生产及其所涉及场所的相关职业健康安全管理活动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7"/>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Q：15.01.02</w:t>
            </w:r>
          </w:p>
          <w:p>
            <w:pPr>
              <w:spacing w:line="260" w:lineRule="exact"/>
              <w:rPr>
                <w:rFonts w:ascii="宋体" w:hAnsi="宋体"/>
                <w:b/>
                <w:sz w:val="21"/>
                <w:szCs w:val="21"/>
              </w:rPr>
            </w:pPr>
            <w:r>
              <w:rPr>
                <w:rFonts w:ascii="宋体" w:hAnsi="宋体"/>
                <w:b/>
                <w:sz w:val="21"/>
                <w:szCs w:val="21"/>
              </w:rPr>
              <w:t>E：15.01.02</w:t>
            </w:r>
          </w:p>
          <w:p>
            <w:pPr>
              <w:spacing w:line="260" w:lineRule="exact"/>
              <w:rPr>
                <w:rFonts w:ascii="宋体" w:hAnsi="宋体"/>
                <w:b/>
                <w:sz w:val="21"/>
                <w:szCs w:val="21"/>
              </w:rPr>
            </w:pPr>
            <w:r>
              <w:rPr>
                <w:rFonts w:ascii="宋体" w:hAnsi="宋体"/>
                <w:b/>
                <w:sz w:val="21"/>
                <w:szCs w:val="21"/>
              </w:rPr>
              <w:t>O：15.01.02</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2023-03-29</w:t>
            </w:r>
          </w:p>
        </w:tc>
        <w:tc>
          <w:tcPr>
            <w:tcW w:w="1241"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931" w:type="dxa"/>
            <w:gridSpan w:val="2"/>
          </w:tcPr>
          <w:p>
            <w:pPr>
              <w:spacing w:line="260" w:lineRule="exact"/>
              <w:rPr>
                <w:rFonts w:hint="eastAsia"/>
                <w:b/>
                <w:sz w:val="20"/>
              </w:rPr>
            </w:pPr>
          </w:p>
          <w:p>
            <w:pPr>
              <w:spacing w:line="260" w:lineRule="exact"/>
              <w:rPr>
                <w:rFonts w:ascii="宋体"/>
                <w:b/>
                <w:sz w:val="21"/>
              </w:rPr>
            </w:pPr>
            <w:r>
              <w:rPr>
                <w:rFonts w:hint="eastAsia"/>
                <w:b/>
                <w:sz w:val="20"/>
              </w:rPr>
              <w:t>2020年03月06日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b/>
          <w:sz w:val="20"/>
        </w:rPr>
        <w:t>2020年03月06日</w:t>
      </w:r>
      <w:r>
        <w:rPr>
          <w:rFonts w:hint="eastAsia" w:ascii="宋体" w:hAnsi="宋体"/>
          <w:b/>
          <w:sz w:val="21"/>
          <w:szCs w:val="21"/>
        </w:rPr>
        <w:t>至</w:t>
      </w:r>
      <w:r>
        <w:rPr>
          <w:rFonts w:hint="eastAsia"/>
          <w:b/>
          <w:sz w:val="20"/>
        </w:rPr>
        <w:t>2021年05月07日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restart"/>
            <w:textDirection w:val="tbRlV"/>
            <w:vAlign w:val="center"/>
          </w:tcPr>
          <w:p>
            <w:pPr>
              <w:spacing w:line="240" w:lineRule="exact"/>
              <w:ind w:left="241" w:right="113" w:hanging="211" w:hangingChars="100"/>
              <w:jc w:val="center"/>
              <w:rPr>
                <w:rFonts w:ascii="宋体"/>
                <w:b/>
                <w:sz w:val="21"/>
                <w:szCs w:val="21"/>
              </w:rPr>
            </w:pPr>
            <w:r>
              <w:rPr>
                <w:rFonts w:ascii="宋体" w:hAnsi="宋体"/>
                <w:b/>
                <w:sz w:val="21"/>
                <w:szCs w:val="21"/>
              </w:rPr>
              <w:t>(</w:t>
            </w:r>
            <w:r>
              <w:rPr>
                <w:rFonts w:hint="eastAsia" w:ascii="宋体" w:hAnsi="宋体"/>
                <w:b/>
                <w:sz w:val="21"/>
                <w:szCs w:val="21"/>
              </w:rPr>
              <w:t>一</w:t>
            </w:r>
            <w:r>
              <w:rPr>
                <w:rFonts w:ascii="宋体" w:hAnsi="宋体"/>
                <w:b/>
                <w:sz w:val="21"/>
                <w:szCs w:val="21"/>
              </w:rPr>
              <w:t>)</w:t>
            </w:r>
            <w:r>
              <w:rPr>
                <w:rFonts w:hint="eastAsia" w:ascii="宋体" w:hAnsi="宋体"/>
                <w:b/>
                <w:sz w:val="21"/>
                <w:szCs w:val="21"/>
              </w:rPr>
              <w:t>策划的充分与合理性</w:t>
            </w:r>
          </w:p>
        </w:tc>
        <w:tc>
          <w:tcPr>
            <w:tcW w:w="9198" w:type="dxa"/>
            <w:vAlign w:val="top"/>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组织对内外部因素、相关方需求和期望进行了充分的识别，策划和实施有效。组织确定了体系的边界，基本适用。</w:t>
            </w:r>
            <w:r>
              <w:rPr>
                <w:rFonts w:hint="eastAsia" w:ascii="宋体" w:hAnsi="宋体"/>
                <w:color w:val="000000" w:themeColor="text1"/>
                <w:sz w:val="21"/>
                <w:szCs w:val="21"/>
                <w:lang w:val="en-US" w:eastAsia="zh-CN"/>
              </w:rPr>
              <w:t>质量</w:t>
            </w:r>
            <w:r>
              <w:rPr>
                <w:rFonts w:hint="eastAsia" w:ascii="宋体" w:hAnsi="宋体"/>
                <w:color w:val="000000" w:themeColor="text1"/>
                <w:sz w:val="21"/>
                <w:szCs w:val="21"/>
              </w:rPr>
              <w:t>管理体系</w:t>
            </w:r>
            <w:r>
              <w:rPr>
                <w:rFonts w:hint="eastAsia" w:ascii="宋体" w:hAnsi="宋体"/>
                <w:color w:val="000000" w:themeColor="text1"/>
                <w:sz w:val="21"/>
                <w:szCs w:val="21"/>
                <w:lang w:val="en-US" w:eastAsia="zh-CN"/>
              </w:rPr>
              <w:t>不适用</w:t>
            </w:r>
            <w:r>
              <w:rPr>
                <w:rFonts w:hint="eastAsia" w:ascii="宋体" w:hAnsi="宋体"/>
                <w:color w:val="000000" w:themeColor="text1"/>
                <w:sz w:val="21"/>
                <w:szCs w:val="21"/>
              </w:rPr>
              <w:t>条款</w:t>
            </w:r>
            <w:r>
              <w:rPr>
                <w:rFonts w:hint="eastAsia" w:ascii="宋体" w:hAnsi="宋体"/>
                <w:color w:val="000000" w:themeColor="text1"/>
                <w:sz w:val="21"/>
                <w:szCs w:val="21"/>
                <w:lang w:val="en-US" w:eastAsia="zh-CN"/>
              </w:rPr>
              <w:t>8.3</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z w:val="21"/>
                <w:szCs w:val="21"/>
              </w:rPr>
              <w:t>■</w:t>
            </w:r>
            <w:r>
              <w:rPr>
                <w:rFonts w:hint="eastAsia" w:ascii="宋体" w:hAnsi="宋体"/>
                <w:b/>
                <w:color w:val="000000" w:themeColor="text1"/>
                <w:sz w:val="21"/>
                <w:szCs w:val="21"/>
              </w:rPr>
              <w:t>质量/■环境/■职业健康安全方针（组织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jc w:val="left"/>
              <w:rPr>
                <w:rFonts w:ascii="Times New Roman"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sz w:val="21"/>
                <w:szCs w:val="21"/>
              </w:rPr>
              <w:t>质量方针：</w:t>
            </w:r>
            <w:r>
              <w:rPr>
                <w:rFonts w:hint="eastAsia"/>
                <w:bCs/>
                <w:sz w:val="21"/>
                <w:szCs w:val="21"/>
              </w:rPr>
              <w:t>诚实守信，客户至上；真诚合作，实现双赢 ；</w:t>
            </w:r>
            <w:r>
              <w:rPr>
                <w:rFonts w:hint="eastAsia" w:ascii="宋体" w:hAnsi="宋体"/>
                <w:sz w:val="21"/>
                <w:szCs w:val="21"/>
              </w:rPr>
              <w:t xml:space="preserve">环境方针： </w:t>
            </w:r>
            <w:r>
              <w:rPr>
                <w:rFonts w:hint="eastAsia"/>
                <w:bCs/>
                <w:sz w:val="21"/>
                <w:szCs w:val="21"/>
              </w:rPr>
              <w:t>遵规守法，预防污染；高效低耗，环保营业 ；</w:t>
            </w:r>
            <w:r>
              <w:rPr>
                <w:rFonts w:hint="eastAsia" w:ascii="宋体" w:hAnsi="宋体"/>
                <w:sz w:val="21"/>
                <w:szCs w:val="21"/>
              </w:rPr>
              <w:t xml:space="preserve">职业健康安全方针： </w:t>
            </w:r>
            <w:r>
              <w:rPr>
                <w:rFonts w:hint="eastAsia"/>
                <w:bCs/>
                <w:sz w:val="21"/>
                <w:szCs w:val="21"/>
              </w:rPr>
              <w:t xml:space="preserve">安全第一，预防为主；健康向上，共建和谐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210" w:firstLineChars="100"/>
              <w:rPr>
                <w:rFonts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质量管理体系过程有：合同评审、生产管理过程。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其中关键过程有：合片、钢化、夹胶过程。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钢化、夹胶</w:t>
            </w:r>
          </w:p>
          <w:p>
            <w:pPr>
              <w:tabs>
                <w:tab w:val="left" w:pos="540"/>
              </w:tabs>
              <w:spacing w:line="300" w:lineRule="exact"/>
              <w:ind w:left="201" w:leftChars="0" w:hanging="201" w:hangingChars="100"/>
              <w:rPr>
                <w:rFonts w:ascii="宋体" w:hAnsi="宋体" w:eastAsia="宋体" w:cs="Times New Roman"/>
                <w:b/>
                <w:color w:val="000000" w:themeColor="text1"/>
                <w:kern w:val="2"/>
                <w:sz w:val="24"/>
                <w:szCs w:val="21"/>
                <w:lang w:val="en-US" w:eastAsia="zh-CN" w:bidi="ar-SA"/>
              </w:rPr>
            </w:pPr>
            <w:r>
              <w:rPr>
                <w:b/>
                <w:color w:val="000000" w:themeColor="text1"/>
                <w:sz w:val="20"/>
                <w:szCs w:val="20"/>
              </w:rPr>
              <w:pict>
                <v:shape id="_x0000_s2053" o:spid="_x0000_s2053" o:spt="32" type="#_x0000_t32" style="position:absolute;left:0pt;margin-left:157.9pt;margin-top:12.75pt;height:0pt;width:261.75pt;z-index:25166438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4" o:spid="_x0000_s2054" o:spt="32" type="#_x0000_t32" style="position:absolute;left:0pt;margin-left:55.15pt;margin-top:12.75pt;height:0pt;width:42pt;z-index:25166540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8.3，不适用理由：按国标和客户要求执行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5" w:firstLineChars="150"/>
              <w:rPr>
                <w:rFonts w:cs="Times New Roman" w:asciiTheme="minorEastAsia" w:hAnsiTheme="minorEastAsia" w:eastAsiaTheme="minorEastAsia"/>
                <w:b/>
                <w:color w:val="000000" w:themeColor="text1"/>
                <w:kern w:val="2"/>
                <w:sz w:val="21"/>
                <w:szCs w:val="21"/>
                <w:lang w:val="en-US" w:eastAsia="zh-CN" w:bidi="ar-SA"/>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废水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ind w:firstLine="420" w:firstLineChars="200"/>
              <w:rPr>
                <w:rFonts w:ascii="宋体" w:hAnsi="宋体" w:eastAsia="宋体" w:cs="Times New Roman"/>
                <w:b/>
                <w:color w:val="000000" w:themeColor="text1"/>
                <w:spacing w:val="-8"/>
                <w:kern w:val="2"/>
                <w:sz w:val="21"/>
                <w:szCs w:val="21"/>
                <w:lang w:val="en-US" w:eastAsia="zh-CN" w:bidi="ar-SA"/>
              </w:rPr>
            </w:pPr>
            <w:r>
              <w:rPr>
                <w:rFonts w:hint="eastAsia" w:ascii="宋体" w:hAnsi="宋体"/>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b/>
                <w:color w:val="000000" w:themeColor="text1"/>
                <w:spacing w:val="-4"/>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tabs>
                <w:tab w:val="left" w:pos="540"/>
              </w:tabs>
              <w:spacing w:line="300" w:lineRule="exact"/>
              <w:ind w:left="211" w:hanging="211" w:hangingChars="100"/>
              <w:rPr>
                <w:rFonts w:ascii="宋体" w:hAnsi="宋体"/>
                <w:b/>
                <w:color w:val="000000" w:themeColor="text1"/>
                <w:sz w:val="21"/>
                <w:szCs w:val="21"/>
              </w:rPr>
            </w:pPr>
          </w:p>
          <w:p>
            <w:pPr>
              <w:pStyle w:val="13"/>
              <w:numPr>
                <w:ilvl w:val="0"/>
                <w:numId w:val="1"/>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获取法律法规项，■法律法规获取充分，□法律法规获取有遗漏，缺少</w:t>
            </w:r>
          </w:p>
          <w:p>
            <w:pPr>
              <w:pStyle w:val="13"/>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3"/>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法律法规要求及时更新了</w:t>
            </w:r>
          </w:p>
          <w:p>
            <w:pPr>
              <w:tabs>
                <w:tab w:val="left" w:pos="0"/>
              </w:tabs>
              <w:spacing w:line="240" w:lineRule="exact"/>
              <w:rPr>
                <w:rFonts w:ascii="Times New Roman" w:hAnsi="Times New Roman"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hint="eastAsia" w:ascii="宋体" w:hAnsi="宋体" w:eastAsia="宋体"/>
                <w:b/>
                <w:color w:val="000000" w:themeColor="text1"/>
                <w:sz w:val="21"/>
                <w:szCs w:val="21"/>
                <w:lang w:eastAsia="zh-CN"/>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kern w:val="0"/>
                <w:sz w:val="21"/>
                <w:szCs w:val="21"/>
                <w:lang w:eastAsia="zh-CN"/>
              </w:rPr>
              <w:t>。</w:t>
            </w:r>
          </w:p>
          <w:p>
            <w:pPr>
              <w:spacing w:line="360" w:lineRule="auto"/>
              <w:ind w:firstLine="420" w:firstLineChars="200"/>
              <w:jc w:val="left"/>
              <w:rPr>
                <w:rFonts w:ascii="宋体" w:hAnsi="宋体"/>
                <w:bCs/>
                <w:sz w:val="21"/>
                <w:szCs w:val="21"/>
              </w:rPr>
            </w:pPr>
            <w:r>
              <w:rPr>
                <w:rFonts w:hint="eastAsia" w:ascii="宋体" w:hAnsi="宋体"/>
                <w:bCs/>
                <w:sz w:val="21"/>
                <w:szCs w:val="21"/>
              </w:rPr>
              <w:t xml:space="preserve">质量目标 </w:t>
            </w:r>
          </w:p>
          <w:p>
            <w:pPr>
              <w:spacing w:line="360" w:lineRule="auto"/>
              <w:ind w:firstLine="420" w:firstLineChars="200"/>
              <w:jc w:val="left"/>
              <w:rPr>
                <w:rFonts w:ascii="宋体" w:hAnsi="宋体"/>
                <w:bCs/>
                <w:sz w:val="21"/>
                <w:szCs w:val="21"/>
              </w:rPr>
            </w:pPr>
            <w:r>
              <w:rPr>
                <w:rFonts w:hint="eastAsia" w:ascii="宋体" w:hAnsi="宋体"/>
                <w:bCs/>
                <w:sz w:val="21"/>
                <w:szCs w:val="21"/>
              </w:rPr>
              <w:t>1、</w:t>
            </w:r>
            <w:r>
              <w:rPr>
                <w:rFonts w:hint="eastAsia" w:ascii="宋体" w:hAnsi="宋体"/>
                <w:bCs/>
                <w:color w:val="000000"/>
                <w:sz w:val="21"/>
                <w:szCs w:val="21"/>
              </w:rPr>
              <w:t>产品一次检验合格率</w:t>
            </w:r>
            <w:r>
              <w:rPr>
                <w:rFonts w:hint="eastAsia"/>
                <w:color w:val="000000"/>
                <w:sz w:val="21"/>
                <w:szCs w:val="21"/>
              </w:rPr>
              <w:t>97%以上；</w:t>
            </w:r>
          </w:p>
          <w:p>
            <w:pPr>
              <w:spacing w:line="360" w:lineRule="auto"/>
              <w:ind w:firstLine="420" w:firstLineChars="200"/>
              <w:jc w:val="left"/>
              <w:rPr>
                <w:rFonts w:ascii="宋体" w:hAnsi="宋体"/>
                <w:bCs/>
                <w:sz w:val="21"/>
                <w:szCs w:val="21"/>
              </w:rPr>
            </w:pPr>
            <w:r>
              <w:rPr>
                <w:rFonts w:hint="eastAsia" w:ascii="宋体" w:hAnsi="宋体"/>
                <w:bCs/>
                <w:sz w:val="21"/>
                <w:szCs w:val="21"/>
              </w:rPr>
              <w:t>2、合同履约率100％；</w:t>
            </w:r>
          </w:p>
          <w:p>
            <w:pPr>
              <w:spacing w:line="360" w:lineRule="auto"/>
              <w:ind w:firstLine="420" w:firstLineChars="200"/>
              <w:jc w:val="left"/>
              <w:rPr>
                <w:rFonts w:ascii="宋体" w:hAnsi="宋体"/>
                <w:bCs/>
                <w:sz w:val="21"/>
                <w:szCs w:val="21"/>
              </w:rPr>
            </w:pPr>
            <w:r>
              <w:rPr>
                <w:rFonts w:hint="eastAsia" w:ascii="宋体" w:hAnsi="宋体"/>
                <w:bCs/>
                <w:sz w:val="21"/>
                <w:szCs w:val="21"/>
              </w:rPr>
              <w:t xml:space="preserve">3、顾客满意率达到≥90%以上 </w:t>
            </w:r>
          </w:p>
          <w:p>
            <w:pPr>
              <w:spacing w:line="360" w:lineRule="auto"/>
              <w:ind w:firstLine="420" w:firstLineChars="200"/>
              <w:jc w:val="left"/>
              <w:rPr>
                <w:rFonts w:ascii="宋体" w:hAnsi="宋体"/>
                <w:bCs/>
                <w:sz w:val="21"/>
                <w:szCs w:val="21"/>
              </w:rPr>
            </w:pPr>
            <w:r>
              <w:rPr>
                <w:rFonts w:hint="eastAsia" w:ascii="宋体" w:hAnsi="宋体"/>
                <w:bCs/>
                <w:sz w:val="21"/>
                <w:szCs w:val="21"/>
              </w:rPr>
              <w:t>环境</w:t>
            </w:r>
            <w:r>
              <w:rPr>
                <w:rFonts w:hint="eastAsia" w:ascii="宋体" w:hAnsi="宋体"/>
                <w:bCs/>
                <w:sz w:val="21"/>
                <w:szCs w:val="21"/>
                <w:lang w:eastAsia="zh-CN"/>
              </w:rPr>
              <w:t>、</w:t>
            </w:r>
            <w:r>
              <w:rPr>
                <w:rFonts w:hint="eastAsia" w:ascii="宋体" w:hAnsi="宋体"/>
                <w:bCs/>
                <w:sz w:val="21"/>
                <w:szCs w:val="21"/>
              </w:rPr>
              <w:t xml:space="preserve">职业健康安全目标 </w:t>
            </w:r>
          </w:p>
          <w:p>
            <w:pPr>
              <w:spacing w:line="360" w:lineRule="auto"/>
              <w:ind w:firstLine="420" w:firstLineChars="200"/>
              <w:jc w:val="left"/>
              <w:rPr>
                <w:rFonts w:ascii="宋体" w:hAnsi="宋体"/>
                <w:bCs/>
                <w:sz w:val="21"/>
                <w:szCs w:val="21"/>
              </w:rPr>
            </w:pPr>
            <w:r>
              <w:rPr>
                <w:rFonts w:hint="eastAsia" w:ascii="宋体" w:hAnsi="宋体"/>
                <w:bCs/>
                <w:sz w:val="21"/>
                <w:szCs w:val="21"/>
              </w:rPr>
              <w:t xml:space="preserve">1、固体废弃物分类处理率100%；  </w:t>
            </w:r>
          </w:p>
          <w:p>
            <w:pPr>
              <w:spacing w:line="360" w:lineRule="auto"/>
              <w:ind w:firstLine="420" w:firstLineChars="200"/>
              <w:jc w:val="left"/>
              <w:rPr>
                <w:rFonts w:ascii="宋体" w:hAnsi="宋体"/>
                <w:bCs/>
                <w:sz w:val="21"/>
                <w:szCs w:val="21"/>
              </w:rPr>
            </w:pPr>
            <w:r>
              <w:rPr>
                <w:rFonts w:hint="eastAsia" w:ascii="宋体" w:hAnsi="宋体"/>
                <w:bCs/>
                <w:sz w:val="21"/>
                <w:szCs w:val="21"/>
              </w:rPr>
              <w:t>2、火灾事故为零。</w:t>
            </w:r>
          </w:p>
          <w:p>
            <w:pPr>
              <w:spacing w:line="360" w:lineRule="auto"/>
              <w:ind w:firstLine="420" w:firstLineChars="200"/>
              <w:jc w:val="left"/>
              <w:rPr>
                <w:rFonts w:ascii="宋体" w:hAnsi="宋体"/>
                <w:bCs/>
                <w:sz w:val="21"/>
                <w:szCs w:val="21"/>
              </w:rPr>
            </w:pPr>
            <w:r>
              <w:rPr>
                <w:rFonts w:hint="eastAsia" w:ascii="宋体" w:hAnsi="宋体"/>
                <w:bCs/>
                <w:sz w:val="21"/>
                <w:szCs w:val="21"/>
              </w:rPr>
              <w:t xml:space="preserve">3、废水、噪声排放达标 </w:t>
            </w:r>
          </w:p>
          <w:p>
            <w:pPr>
              <w:spacing w:line="360" w:lineRule="auto"/>
              <w:ind w:firstLine="420" w:firstLineChars="200"/>
              <w:jc w:val="left"/>
              <w:rPr>
                <w:rFonts w:ascii="宋体" w:hAnsi="宋体" w:eastAsia="宋体" w:cs="Times New Roman"/>
                <w:b/>
                <w:color w:val="000000" w:themeColor="text1"/>
                <w:kern w:val="2"/>
                <w:sz w:val="21"/>
                <w:szCs w:val="21"/>
                <w:lang w:val="en-US" w:eastAsia="zh-CN" w:bidi="ar-SA"/>
              </w:rPr>
            </w:pPr>
            <w:r>
              <w:rPr>
                <w:rFonts w:hint="eastAsia" w:ascii="宋体" w:hAnsi="宋体"/>
                <w:bCs/>
                <w:sz w:val="21"/>
                <w:szCs w:val="21"/>
                <w:lang w:val="en-US" w:eastAsia="zh-CN"/>
              </w:rPr>
              <w:t>4</w:t>
            </w:r>
            <w:r>
              <w:rPr>
                <w:rFonts w:hint="eastAsia" w:ascii="宋体" w:hAnsi="宋体"/>
                <w:bCs/>
                <w:sz w:val="21"/>
                <w:szCs w:val="21"/>
              </w:rPr>
              <w:t>、人身伤亡为零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rPr>
                <w:rFonts w:ascii="宋体" w:hAnsi="宋体"/>
                <w:b/>
                <w:sz w:val="21"/>
                <w:szCs w:val="21"/>
              </w:rPr>
            </w:pPr>
            <w:r>
              <w:rPr>
                <w:rFonts w:hint="eastAsia" w:ascii="宋体" w:hAnsi="宋体" w:cs="宋体"/>
                <w:color w:val="000000" w:themeColor="text1"/>
                <w:sz w:val="21"/>
                <w:szCs w:val="21"/>
              </w:rPr>
              <w:t>公司按照申请认证的标准要求，建立并形成了文件化的</w:t>
            </w:r>
            <w:r>
              <w:rPr>
                <w:rFonts w:hint="eastAsia" w:ascii="宋体" w:hAnsi="宋体" w:cs="宋体"/>
                <w:color w:val="000000" w:themeColor="text1"/>
                <w:sz w:val="21"/>
                <w:szCs w:val="21"/>
                <w:lang w:val="en-US" w:eastAsia="zh-CN"/>
              </w:rPr>
              <w:t>质量、</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 xml:space="preserve">2019 </w:t>
            </w:r>
            <w:r>
              <w:rPr>
                <w:rFonts w:hint="eastAsia" w:ascii="宋体" w:hAnsi="宋体" w:cs="宋体"/>
                <w:color w:val="000000" w:themeColor="text1"/>
                <w:sz w:val="21"/>
                <w:szCs w:val="21"/>
              </w:rPr>
              <w:t>年8月10日予以发布并有效实施运行，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vAlign w:val="top"/>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人力资源管理</w:t>
            </w:r>
            <w:r>
              <w:rPr>
                <w:rFonts w:hint="eastAsia" w:ascii="宋体" w:hAnsi="宋体"/>
                <w:bCs/>
                <w:iCs/>
                <w:sz w:val="21"/>
                <w:szCs w:val="21"/>
              </w:rPr>
              <w:t>及相关服务运行环境，可以维持管理体系的正常运行。</w:t>
            </w:r>
          </w:p>
          <w:p>
            <w:pPr>
              <w:spacing w:line="300" w:lineRule="exact"/>
              <w:rPr>
                <w:rFonts w:ascii="宋体" w:hAnsi="宋体" w:eastAsia="宋体" w:cs="Times New Roman"/>
                <w:b/>
                <w:color w:val="000000" w:themeColor="text1"/>
                <w:kern w:val="2"/>
                <w:sz w:val="21"/>
                <w:szCs w:val="21"/>
                <w:lang w:val="en-US" w:eastAsia="zh-CN" w:bidi="ar-SA"/>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sz w:val="21"/>
                <w:szCs w:val="21"/>
              </w:rPr>
              <w:t>办公</w:t>
            </w:r>
            <w:r>
              <w:rPr>
                <w:rFonts w:hint="eastAsia" w:ascii="宋体" w:hAnsi="宋体"/>
                <w:sz w:val="21"/>
                <w:szCs w:val="21"/>
                <w:highlight w:val="none"/>
              </w:rPr>
              <w:t>场所面积200平方左右，生产场所面积2000平方。</w:t>
            </w:r>
            <w:r>
              <w:rPr>
                <w:rFonts w:hint="eastAsia" w:ascii="宋体" w:hAnsi="宋体" w:cs="宋体"/>
                <w:sz w:val="21"/>
                <w:szCs w:val="21"/>
                <w:highlight w:val="none"/>
              </w:rPr>
              <w:t>主要生产设备包括</w:t>
            </w:r>
            <w:r>
              <w:rPr>
                <w:rFonts w:hint="eastAsia" w:ascii="宋体" w:hAnsi="宋体"/>
                <w:sz w:val="21"/>
                <w:szCs w:val="21"/>
                <w:highlight w:val="none"/>
              </w:rPr>
              <w:t>全自动玻璃切片机、砂带磨边机、铝条切割机、玻璃清洗机、玻璃清洗干燥机、丁胶涂布机、PVB胶膜铺摊机、红外加热初压机、红外蒸压釜、行走吸盘、中空玻璃板压生产线、钢化生产线等，可以满足</w:t>
            </w:r>
            <w:r>
              <w:rPr>
                <w:rFonts w:hint="eastAsia" w:ascii="宋体" w:hAnsi="宋体" w:cs="宋体"/>
                <w:sz w:val="21"/>
                <w:szCs w:val="21"/>
                <w:highlight w:val="none"/>
              </w:rPr>
              <w:t>产品生产需求。对设备按月方式进行维护保养，并实施。特种设备：</w:t>
            </w:r>
            <w:r>
              <w:rPr>
                <w:rFonts w:hint="eastAsia" w:ascii="宋体" w:hAnsi="宋体"/>
                <w:sz w:val="21"/>
                <w:szCs w:val="21"/>
                <w:highlight w:val="none"/>
              </w:rPr>
              <w:t>储气罐、蒸压釜、行车</w:t>
            </w:r>
            <w:r>
              <w:rPr>
                <w:rFonts w:hint="eastAsia" w:ascii="宋体" w:hAnsi="宋体" w:cs="宋体"/>
                <w:sz w:val="21"/>
                <w:szCs w:val="21"/>
                <w:highlight w:val="none"/>
              </w:rPr>
              <w:t>。公</w:t>
            </w:r>
            <w:r>
              <w:rPr>
                <w:rFonts w:hint="eastAsia" w:ascii="宋体" w:hAnsi="宋体" w:cs="宋体"/>
                <w:sz w:val="21"/>
                <w:szCs w:val="21"/>
              </w:rPr>
              <w:t>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cs="宋体"/>
                <w:sz w:val="21"/>
                <w:szCs w:val="21"/>
              </w:rPr>
              <w:t>办公、</w:t>
            </w:r>
            <w:r>
              <w:rPr>
                <w:rFonts w:hint="eastAsia" w:ascii="宋体" w:hAnsi="宋体"/>
                <w:sz w:val="21"/>
                <w:szCs w:val="21"/>
              </w:rPr>
              <w:t>生产</w:t>
            </w:r>
            <w:r>
              <w:rPr>
                <w:rFonts w:hint="eastAsia" w:ascii="宋体" w:hAnsi="宋体" w:cs="宋体"/>
                <w:sz w:val="21"/>
                <w:szCs w:val="21"/>
              </w:rPr>
              <w:t>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监视和测量资源</w:t>
            </w:r>
          </w:p>
          <w:p>
            <w:pPr>
              <w:rPr>
                <w:rFonts w:ascii="宋体" w:hAnsi="宋体" w:eastAsia="宋体" w:cs="Times New Roman"/>
                <w:b/>
                <w:color w:val="000000" w:themeColor="text1"/>
                <w:kern w:val="2"/>
                <w:sz w:val="21"/>
                <w:szCs w:val="21"/>
                <w:lang w:val="en-US" w:eastAsia="zh-CN" w:bidi="ar-SA"/>
              </w:rPr>
            </w:pPr>
            <w:r>
              <w:rPr>
                <w:rFonts w:hint="eastAsia" w:ascii="宋体" w:hAnsi="宋体" w:cs="宋体"/>
                <w:sz w:val="21"/>
                <w:szCs w:val="21"/>
              </w:rPr>
              <w:t>查公司</w:t>
            </w:r>
            <w:r>
              <w:rPr>
                <w:rFonts w:hint="eastAsia"/>
                <w:color w:val="000000" w:themeColor="text1"/>
                <w:sz w:val="21"/>
                <w:szCs w:val="21"/>
              </w:rPr>
              <w:t>配置有</w:t>
            </w:r>
            <w:r>
              <w:rPr>
                <w:rFonts w:hint="eastAsia"/>
                <w:color w:val="000000" w:themeColor="text1"/>
                <w:sz w:val="21"/>
                <w:szCs w:val="21"/>
                <w:highlight w:val="none"/>
              </w:rPr>
              <w:t>钢直尺、温湿度计、游标卡尺、千分尺、落球冲击框架、霰弹袋冲击试验机等</w:t>
            </w:r>
            <w:r>
              <w:rPr>
                <w:rFonts w:hint="eastAsia" w:ascii="宋体" w:hAnsi="宋体" w:cs="宋体"/>
                <w:color w:val="000000" w:themeColor="text1"/>
                <w:sz w:val="21"/>
                <w:szCs w:val="21"/>
                <w:highlight w:val="none"/>
                <w:shd w:val="clear" w:color="auto" w:fill="FFFFFF"/>
              </w:rPr>
              <w:t>，按期校准或检定和自校，</w:t>
            </w:r>
            <w:r>
              <w:rPr>
                <w:rFonts w:hint="eastAsia" w:ascii="宋体" w:hAnsi="宋体" w:cs="宋体"/>
                <w:sz w:val="21"/>
                <w:szCs w:val="21"/>
                <w:highlight w:val="none"/>
              </w:rPr>
              <w:t>能保证玻璃加工生产的要求。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themeColor="text1"/>
                <w:sz w:val="21"/>
                <w:szCs w:val="21"/>
              </w:rPr>
            </w:pPr>
            <w:r>
              <w:rPr>
                <w:rFonts w:hint="eastAsia" w:ascii="宋体" w:hAnsi="宋体" w:cs="宋体"/>
                <w:color w:val="000000" w:themeColor="text1"/>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环保设施：</w:t>
            </w:r>
          </w:p>
          <w:p>
            <w:pPr>
              <w:spacing w:line="240" w:lineRule="exact"/>
              <w:rPr>
                <w:rFonts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rPr>
              <w:t>消防栓、灭火器、布袋吸尘器、冲洗装置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职业健康安全设施：</w:t>
            </w:r>
          </w:p>
          <w:p>
            <w:pPr>
              <w:spacing w:line="240" w:lineRule="exact"/>
              <w:rPr>
                <w:rFonts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jc w:val="center"/>
        </w:trPr>
        <w:tc>
          <w:tcPr>
            <w:tcW w:w="720" w:type="dxa"/>
            <w:vMerge w:val="restart"/>
            <w:textDirection w:val="tbRlV"/>
            <w:vAlign w:val="center"/>
          </w:tcPr>
          <w:p>
            <w:pPr>
              <w:spacing w:line="240" w:lineRule="exact"/>
              <w:ind w:left="113" w:right="113"/>
              <w:jc w:val="center"/>
              <w:rPr>
                <w:b/>
                <w:sz w:val="21"/>
                <w:szCs w:val="21"/>
              </w:rPr>
            </w:pPr>
            <w:r>
              <w:rPr>
                <w:rFonts w:ascii="宋体" w:hAnsi="宋体"/>
                <w:b/>
                <w:sz w:val="21"/>
                <w:szCs w:val="21"/>
              </w:rPr>
              <w:t>(</w:t>
            </w:r>
            <w:r>
              <w:rPr>
                <w:rFonts w:hint="eastAsia" w:ascii="宋体" w:hAnsi="宋体"/>
                <w:b/>
                <w:sz w:val="21"/>
                <w:szCs w:val="21"/>
              </w:rPr>
              <w:t>三</w:t>
            </w:r>
            <w:r>
              <w:rPr>
                <w:rFonts w:ascii="宋体" w:hAnsi="宋体"/>
                <w:b/>
                <w:sz w:val="21"/>
                <w:szCs w:val="21"/>
              </w:rPr>
              <w:t>)</w:t>
            </w:r>
            <w:r>
              <w:rPr>
                <w:rFonts w:hint="eastAsia" w:ascii="宋体" w:hAnsi="宋体"/>
                <w:b/>
                <w:sz w:val="21"/>
                <w:szCs w:val="21"/>
              </w:rPr>
              <w:t>体系运行情况</w:t>
            </w:r>
          </w:p>
        </w:tc>
        <w:tc>
          <w:tcPr>
            <w:tcW w:w="9198" w:type="dxa"/>
            <w:vAlign w:val="top"/>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leftChars="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外部信息的接收、成文并答复的情况（E、S填写）：对会议通知和规定等登记处理</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00" w:lineRule="exact"/>
              <w:ind w:firstLine="207" w:firstLineChars="98"/>
              <w:rPr>
                <w:b/>
                <w:color w:val="000000" w:themeColor="text1"/>
                <w:sz w:val="21"/>
                <w:szCs w:val="21"/>
              </w:rPr>
            </w:pPr>
            <w:r>
              <w:rPr>
                <w:rFonts w:hint="eastAsia"/>
                <w:b/>
                <w:color w:val="000000" w:themeColor="text1"/>
                <w:sz w:val="21"/>
                <w:szCs w:val="21"/>
              </w:rPr>
              <w:t>有</w:t>
            </w:r>
          </w:p>
          <w:p>
            <w:pPr>
              <w:spacing w:line="300" w:lineRule="exact"/>
              <w:ind w:firstLine="207" w:firstLineChars="98"/>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（附相关证据）</w:t>
            </w:r>
            <w:r>
              <w:rPr>
                <w:rFonts w:hint="eastAsia"/>
                <w:b/>
                <w:color w:val="000000" w:themeColor="text1"/>
                <w:sz w:val="21"/>
                <w:szCs w:val="21"/>
                <w:highlight w:val="none"/>
              </w:rPr>
              <w:t>型式试验报告、监督抽查报告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pStyle w:val="13"/>
              <w:tabs>
                <w:tab w:val="center" w:pos="3169"/>
              </w:tabs>
              <w:spacing w:line="400" w:lineRule="exact"/>
              <w:ind w:firstLine="0" w:firstLineChars="0"/>
              <w:jc w:val="left"/>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rPr>
              <w:t>组织重要环境因素为</w:t>
            </w:r>
            <w:r>
              <w:rPr>
                <w:rFonts w:hint="eastAsia" w:ascii="宋体" w:hAnsi="宋体" w:cs="宋体"/>
                <w:sz w:val="21"/>
                <w:szCs w:val="21"/>
              </w:rPr>
              <w:t>潜在火灾、固废废弃物、噪声排放、废水排放</w:t>
            </w:r>
            <w:r>
              <w:rPr>
                <w:rFonts w:hint="eastAsia" w:asciiTheme="minorEastAsia" w:hAnsiTheme="minorEastAsia" w:eastAsiaTheme="minorEastAsia"/>
                <w:bCs/>
                <w:iCs/>
                <w:sz w:val="21"/>
                <w:szCs w:val="21"/>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sz w:val="21"/>
                <w:szCs w:val="21"/>
              </w:rPr>
              <w:t>火灾；机械伤害；触电）</w:t>
            </w:r>
            <w:r>
              <w:rPr>
                <w:rFonts w:hint="eastAsia" w:asciiTheme="minorEastAsia" w:hAnsiTheme="minorEastAsia" w:eastAsiaTheme="minorEastAsia"/>
                <w:bCs/>
                <w:iCs/>
                <w:sz w:val="21"/>
                <w:szCs w:val="21"/>
              </w:rPr>
              <w:t>，与之相关的过程有生产过程，针对不可接受风险制定了管理方案。控制措施实施有效。</w:t>
            </w:r>
          </w:p>
          <w:p>
            <w:pPr>
              <w:spacing w:line="240" w:lineRule="exact"/>
              <w:rPr>
                <w:rFonts w:ascii="Times New Roman" w:hAnsi="Times New Roman"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cs="Times New Roman" w:asciiTheme="minorEastAsia" w:hAnsiTheme="minorEastAsia" w:eastAsiaTheme="minorEastAsia"/>
                <w:b/>
                <w:color w:val="000000" w:themeColor="text1"/>
                <w:spacing w:val="-4"/>
                <w:kern w:val="2"/>
                <w:sz w:val="21"/>
                <w:szCs w:val="21"/>
                <w:lang w:val="en-US" w:eastAsia="zh-CN" w:bidi="ar-SA"/>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10. 对特种设备的维护; </w:t>
            </w:r>
            <w:r>
              <w:rPr>
                <w:rFonts w:hint="eastAsia"/>
                <w:b/>
                <w:sz w:val="21"/>
                <w:szCs w:val="21"/>
              </w:rPr>
              <w:t>（适用时）</w:t>
            </w:r>
          </w:p>
          <w:p>
            <w:pPr>
              <w:spacing w:line="240" w:lineRule="exact"/>
              <w:rPr>
                <w:rFonts w:hint="default" w:ascii="Times New Roman" w:hAnsi="Times New Roman" w:eastAsia="宋体" w:cs="Times New Roman"/>
                <w:b/>
                <w:color w:val="000000" w:themeColor="text1"/>
                <w:kern w:val="2"/>
                <w:sz w:val="21"/>
                <w:szCs w:val="21"/>
                <w:lang w:val="en-US" w:eastAsia="zh-CN" w:bidi="ar-SA"/>
              </w:rPr>
            </w:pPr>
            <w:r>
              <w:rPr>
                <w:rFonts w:hint="eastAsia" w:cs="Times New Roman"/>
                <w:b/>
                <w:color w:val="000000" w:themeColor="text1"/>
                <w:kern w:val="2"/>
                <w:sz w:val="21"/>
                <w:szCs w:val="21"/>
                <w:lang w:val="en-US" w:eastAsia="zh-CN" w:bidi="ar-SA"/>
              </w:rPr>
              <w:t>已送检，见附件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sz w:val="21"/>
                <w:szCs w:val="21"/>
              </w:rPr>
            </w:pPr>
            <w:r>
              <w:rPr>
                <w:rFonts w:hint="eastAsia"/>
                <w:b/>
                <w:color w:val="000000" w:themeColor="text1"/>
                <w:sz w:val="21"/>
                <w:szCs w:val="21"/>
              </w:rPr>
              <w:t>11 .对危险化学品销售、使用、储存、运输处置，规定的执行力度(必要时);</w:t>
            </w:r>
            <w:r>
              <w:rPr>
                <w:rFonts w:hint="eastAsia"/>
                <w:b/>
                <w:sz w:val="21"/>
                <w:szCs w:val="21"/>
              </w:rPr>
              <w:t>（适用时）</w:t>
            </w:r>
          </w:p>
          <w:p>
            <w:pPr>
              <w:spacing w:line="240" w:lineRule="exact"/>
              <w:rPr>
                <w:rFonts w:ascii="Times New Roman" w:hAnsi="Times New Roman" w:eastAsia="宋体" w:cs="Times New Roman"/>
                <w:kern w:val="2"/>
                <w:sz w:val="21"/>
                <w:szCs w:val="21"/>
                <w:lang w:val="en-US" w:eastAsia="zh-CN" w:bidi="ar-SA"/>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20" w:type="dxa"/>
            <w:vMerge w:val="restart"/>
            <w:textDirection w:val="tbRlV"/>
            <w:vAlign w:val="center"/>
          </w:tcPr>
          <w:p>
            <w:pPr>
              <w:spacing w:line="240" w:lineRule="exact"/>
              <w:ind w:left="113" w:right="113"/>
              <w:jc w:val="center"/>
              <w:rPr>
                <w:rFonts w:ascii="宋体" w:hAnsi="宋体"/>
                <w:b/>
                <w:sz w:val="21"/>
                <w:szCs w:val="21"/>
              </w:rPr>
            </w:pPr>
            <w:r>
              <w:rPr>
                <w:rFonts w:ascii="宋体" w:hAnsi="宋体"/>
                <w:b/>
                <w:sz w:val="21"/>
                <w:szCs w:val="21"/>
              </w:rPr>
              <w:t>(</w:t>
            </w:r>
            <w:r>
              <w:rPr>
                <w:rFonts w:hint="eastAsia" w:ascii="宋体" w:hAnsi="宋体"/>
                <w:b/>
                <w:sz w:val="21"/>
                <w:szCs w:val="21"/>
              </w:rPr>
              <w:t>四</w:t>
            </w:r>
            <w:r>
              <w:rPr>
                <w:rFonts w:ascii="宋体" w:hAnsi="宋体"/>
                <w:b/>
                <w:sz w:val="21"/>
                <w:szCs w:val="21"/>
              </w:rPr>
              <w:t>)</w:t>
            </w:r>
            <w:r>
              <w:rPr>
                <w:rFonts w:hint="eastAsia" w:ascii="宋体" w:hAnsi="宋体"/>
                <w:b/>
                <w:sz w:val="21"/>
                <w:szCs w:val="21"/>
              </w:rPr>
              <w:t>监视测量方面</w:t>
            </w:r>
          </w:p>
        </w:tc>
        <w:tc>
          <w:tcPr>
            <w:tcW w:w="9198" w:type="dxa"/>
            <w:vAlign w:val="top"/>
          </w:tcPr>
          <w:p>
            <w:pPr>
              <w:spacing w:line="240" w:lineRule="exact"/>
              <w:ind w:left="100" w:hanging="105" w:hangingChars="50"/>
              <w:rPr>
                <w:b/>
                <w:color w:val="000000" w:themeColor="text1"/>
                <w:sz w:val="21"/>
                <w:szCs w:val="21"/>
                <w:highlight w:val="none"/>
              </w:rPr>
            </w:pPr>
            <w:r>
              <w:rPr>
                <w:rFonts w:hint="eastAsia"/>
                <w:b/>
                <w:color w:val="000000" w:themeColor="text1"/>
                <w:sz w:val="21"/>
                <w:szCs w:val="21"/>
                <w:highlight w:val="none"/>
              </w:rPr>
              <w:t>1. .对质量/环境/职业健康安全目标指标进行定期监测/检查情况</w:t>
            </w:r>
            <w:r>
              <w:rPr>
                <w:rFonts w:hint="eastAsia"/>
                <w:b/>
                <w:sz w:val="21"/>
                <w:szCs w:val="21"/>
                <w:highlight w:val="none"/>
              </w:rPr>
              <w:t>（适用时）</w:t>
            </w:r>
          </w:p>
          <w:p>
            <w:pPr>
              <w:spacing w:line="240" w:lineRule="exact"/>
              <w:ind w:firstLine="105" w:firstLineChars="50"/>
              <w:rPr>
                <w:rFonts w:ascii="Times New Roman" w:hAnsi="Times New Roman" w:eastAsia="宋体" w:cs="Times New Roman"/>
                <w:b/>
                <w:color w:val="000000" w:themeColor="text1"/>
                <w:kern w:val="2"/>
                <w:sz w:val="21"/>
                <w:szCs w:val="21"/>
                <w:highlight w:val="none"/>
                <w:lang w:val="en-US" w:eastAsia="zh-CN" w:bidi="ar-SA"/>
              </w:rPr>
            </w:pPr>
            <w:r>
              <w:rPr>
                <w:rFonts w:hint="eastAsia" w:ascii="宋体" w:hAnsi="宋体" w:cs="宋体"/>
                <w:color w:val="000000"/>
                <w:sz w:val="21"/>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 w:val="21"/>
                <w:szCs w:val="21"/>
                <w:highlight w:val="none"/>
              </w:rPr>
              <w:t>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cs="宋体"/>
                <w:sz w:val="21"/>
                <w:szCs w:val="21"/>
                <w:highlight w:val="none"/>
              </w:rPr>
              <w:t>-202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w:t>
            </w:r>
            <w:r>
              <w:rPr>
                <w:rFonts w:hint="eastAsia" w:ascii="宋体" w:hAnsi="宋体" w:cs="宋体"/>
                <w:sz w:val="21"/>
                <w:szCs w:val="21"/>
                <w:highlight w:val="none"/>
                <w:lang w:val="en-US" w:eastAsia="zh-CN"/>
              </w:rPr>
              <w:t>4</w:t>
            </w:r>
            <w:r>
              <w:rPr>
                <w:rFonts w:hint="eastAsia" w:ascii="宋体" w:hAnsi="宋体" w:cs="宋体"/>
                <w:sz w:val="21"/>
                <w:szCs w:val="21"/>
                <w:highlight w:val="none"/>
              </w:rPr>
              <w:t>月</w:t>
            </w:r>
            <w:r>
              <w:rPr>
                <w:rFonts w:hint="eastAsia" w:ascii="宋体" w:hAnsi="宋体" w:cs="宋体"/>
                <w:color w:val="000000"/>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ind w:left="100" w:hanging="105" w:hangingChars="50"/>
              <w:rPr>
                <w:b/>
                <w:color w:val="000000" w:themeColor="text1"/>
                <w:sz w:val="21"/>
                <w:szCs w:val="21"/>
                <w:highlight w:val="none"/>
              </w:rPr>
            </w:pPr>
            <w:r>
              <w:rPr>
                <w:rFonts w:hint="eastAsia"/>
                <w:b/>
                <w:color w:val="000000" w:themeColor="text1"/>
                <w:sz w:val="21"/>
                <w:szCs w:val="21"/>
                <w:highlight w:val="none"/>
              </w:rPr>
              <w:t>2.顾客满意</w:t>
            </w:r>
          </w:p>
          <w:p>
            <w:pPr>
              <w:spacing w:line="240" w:lineRule="exact"/>
              <w:ind w:left="120" w:leftChars="50" w:firstLine="315" w:firstLineChars="150"/>
              <w:rPr>
                <w:rFonts w:ascii="Times New Roman" w:hAnsi="Times New Roman" w:eastAsia="宋体" w:cs="Times New Roman"/>
                <w:b/>
                <w:color w:val="000000" w:themeColor="text1"/>
                <w:kern w:val="2"/>
                <w:sz w:val="21"/>
                <w:szCs w:val="21"/>
                <w:highlight w:val="none"/>
                <w:lang w:val="en-US" w:eastAsia="zh-CN" w:bidi="ar-SA"/>
              </w:rPr>
            </w:pPr>
            <w:r>
              <w:rPr>
                <w:rFonts w:hint="eastAsia" w:ascii="宋体" w:hAnsi="宋体" w:cs="宋体"/>
                <w:color w:val="000000"/>
                <w:sz w:val="21"/>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 w:val="21"/>
                <w:szCs w:val="21"/>
                <w:highlight w:val="none"/>
              </w:rPr>
              <w:t>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月实施，满意度评价98分，总体实现了顾客满意度的质量目标要求。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spacing w:line="240" w:lineRule="exact"/>
              <w:rPr>
                <w:rFonts w:ascii="Times New Roman" w:hAnsi="Times New Roman" w:eastAsia="宋体" w:cs="Times New Roman"/>
                <w:b/>
                <w:color w:val="FF0000"/>
                <w:kern w:val="2"/>
                <w:sz w:val="21"/>
                <w:szCs w:val="21"/>
                <w:lang w:val="en-US" w:eastAsia="zh-CN" w:bidi="ar-SA"/>
              </w:rPr>
            </w:pPr>
            <w:r>
              <w:rPr>
                <w:rFonts w:hint="eastAsia" w:ascii="宋体" w:hAnsi="宋体"/>
                <w:sz w:val="21"/>
                <w:szCs w:val="21"/>
              </w:rPr>
              <w:t>建立有《内部审核控制程序》，规定了内审频次一年一次，内审时间：20</w:t>
            </w:r>
            <w:r>
              <w:rPr>
                <w:rFonts w:hint="eastAsia" w:ascii="宋体" w:hAnsi="宋体"/>
                <w:sz w:val="21"/>
                <w:szCs w:val="21"/>
                <w:lang w:val="en-US" w:eastAsia="zh-CN"/>
              </w:rPr>
              <w:t>20</w:t>
            </w:r>
            <w:r>
              <w:rPr>
                <w:rFonts w:hint="eastAsia" w:ascii="宋体" w:hAnsi="宋体"/>
                <w:sz w:val="21"/>
                <w:szCs w:val="21"/>
              </w:rPr>
              <w:t>年1</w:t>
            </w:r>
            <w:r>
              <w:rPr>
                <w:rFonts w:hint="eastAsia" w:ascii="宋体" w:hAnsi="宋体"/>
                <w:sz w:val="21"/>
                <w:szCs w:val="21"/>
                <w:lang w:val="en-US" w:eastAsia="zh-CN"/>
              </w:rPr>
              <w:t>0</w:t>
            </w:r>
            <w:r>
              <w:rPr>
                <w:rFonts w:hint="eastAsia" w:ascii="宋体" w:hAnsi="宋体"/>
                <w:sz w:val="21"/>
                <w:szCs w:val="21"/>
              </w:rPr>
              <w:t>月10日，拟定了审核实施表，明确了内审范围，内审人员经培训合格上岗，能力满足要求，未出现审核本部门情况，《内审不符合项报告》</w:t>
            </w:r>
            <w:r>
              <w:rPr>
                <w:rFonts w:hint="eastAsia" w:ascii="宋体" w:hAnsi="宋体"/>
                <w:sz w:val="21"/>
                <w:szCs w:val="21"/>
                <w:lang w:val="en-US" w:eastAsia="zh-CN"/>
              </w:rPr>
              <w:t>1</w:t>
            </w:r>
            <w:r>
              <w:rPr>
                <w:rFonts w:hint="eastAsia" w:ascii="宋体" w:hAnsi="宋体"/>
                <w:sz w:val="21"/>
                <w:szCs w:val="21"/>
              </w:rPr>
              <w:t>份，涉及</w:t>
            </w:r>
            <w:r>
              <w:rPr>
                <w:rFonts w:hint="eastAsia" w:ascii="宋体" w:hAnsi="宋体"/>
                <w:sz w:val="21"/>
                <w:szCs w:val="21"/>
                <w:lang w:val="en-US" w:eastAsia="zh-CN"/>
              </w:rPr>
              <w:t>供销</w:t>
            </w:r>
            <w:r>
              <w:rPr>
                <w:rFonts w:hint="eastAsia" w:ascii="宋体" w:hAnsi="宋体"/>
                <w:sz w:val="21"/>
                <w:szCs w:val="21"/>
              </w:rPr>
              <w:t>部</w:t>
            </w:r>
            <w:r>
              <w:rPr>
                <w:rFonts w:hint="eastAsia" w:ascii="宋体" w:hAnsi="宋体"/>
                <w:sz w:val="21"/>
                <w:szCs w:val="21"/>
                <w:lang w:val="en-US" w:eastAsia="zh-CN"/>
              </w:rPr>
              <w:t>Q8.4</w:t>
            </w:r>
            <w:r>
              <w:rPr>
                <w:rFonts w:hint="eastAsia" w:ascii="宋体" w:hAnsi="宋体"/>
                <w:sz w:val="21"/>
                <w:szCs w:val="21"/>
              </w:rPr>
              <w:t>条款审核中发现</w:t>
            </w:r>
            <w:r>
              <w:rPr>
                <w:rFonts w:hint="eastAsia" w:ascii="宋体" w:hAnsi="宋体"/>
                <w:sz w:val="21"/>
                <w:szCs w:val="21"/>
                <w:lang w:val="en-US" w:eastAsia="zh-CN"/>
              </w:rPr>
              <w:t>9月10日采购材料未见验收记录</w:t>
            </w:r>
            <w:r>
              <w:rPr>
                <w:rFonts w:hint="eastAsia" w:ascii="宋体" w:hAnsi="宋体"/>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rPr>
              <w:t>管理评审频次为一年一次、本次管理评审于</w:t>
            </w:r>
            <w:r>
              <w:rPr>
                <w:rFonts w:hint="eastAsia" w:ascii="宋体" w:hAnsi="宋体" w:cs="宋体"/>
                <w:sz w:val="21"/>
                <w:szCs w:val="21"/>
                <w:lang w:eastAsia="zh-CN"/>
              </w:rPr>
              <w:t>2020年</w:t>
            </w:r>
            <w:r>
              <w:rPr>
                <w:rFonts w:hint="eastAsia" w:ascii="宋体" w:hAnsi="宋体" w:cs="宋体"/>
                <w:sz w:val="21"/>
                <w:szCs w:val="21"/>
                <w:lang w:val="en-US" w:eastAsia="zh-CN"/>
              </w:rPr>
              <w:t>12</w:t>
            </w:r>
            <w:r>
              <w:rPr>
                <w:rFonts w:hint="eastAsia" w:ascii="宋体" w:hAnsi="宋体" w:cs="宋体"/>
                <w:sz w:val="21"/>
                <w:szCs w:val="21"/>
                <w:lang w:eastAsia="zh-CN"/>
              </w:rPr>
              <w:t>月1</w:t>
            </w:r>
            <w:r>
              <w:rPr>
                <w:rFonts w:hint="eastAsia" w:ascii="宋体" w:hAnsi="宋体" w:cs="宋体"/>
                <w:sz w:val="21"/>
                <w:szCs w:val="21"/>
                <w:lang w:val="en-US" w:eastAsia="zh-CN"/>
              </w:rPr>
              <w:t>0</w:t>
            </w:r>
            <w:r>
              <w:rPr>
                <w:rFonts w:hint="eastAsia" w:ascii="宋体" w:hAnsi="宋体" w:cs="宋体"/>
                <w:sz w:val="21"/>
                <w:szCs w:val="21"/>
                <w:lang w:eastAsia="zh-CN"/>
              </w:rPr>
              <w:t>日</w:t>
            </w:r>
            <w:r>
              <w:rPr>
                <w:rFonts w:hint="eastAsia" w:ascii="宋体" w:hAnsi="宋体" w:cs="宋体"/>
                <w:sz w:val="2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highlight w:val="none"/>
              </w:rPr>
            </w:pPr>
            <w:r>
              <w:rPr>
                <w:rFonts w:hint="eastAsia"/>
                <w:b/>
                <w:color w:val="000000" w:themeColor="text1"/>
                <w:sz w:val="21"/>
                <w:szCs w:val="21"/>
                <w:highlight w:val="none"/>
              </w:rPr>
              <w:t>5.  EMS是否按规定对主要污染物（污水、废气、噪声、废渣等）及排放实施了例行的监视或测量，结果是否满足相关要求？</w:t>
            </w:r>
          </w:p>
          <w:p>
            <w:pPr>
              <w:spacing w:line="240" w:lineRule="exact"/>
              <w:ind w:firstLine="210" w:firstLineChars="100"/>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rPr>
              <w:t>有检</w:t>
            </w:r>
            <w:r>
              <w:rPr>
                <w:rFonts w:hint="eastAsia"/>
                <w:sz w:val="21"/>
                <w:szCs w:val="21"/>
                <w:highlight w:val="none"/>
                <w:lang w:val="en-US" w:eastAsia="zh-CN"/>
              </w:rPr>
              <w:t>测报告，报告编号：高峰监测H（2020）0846号，详情见附件。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vAlign w:val="center"/>
          </w:tcPr>
          <w:p>
            <w:pPr>
              <w:spacing w:line="240" w:lineRule="exact"/>
              <w:jc w:val="center"/>
              <w:rPr>
                <w:b/>
                <w:sz w:val="21"/>
                <w:szCs w:val="21"/>
              </w:rPr>
            </w:pPr>
            <w:bookmarkStart w:id="26" w:name="_GoBack" w:colFirst="1" w:colLast="1"/>
          </w:p>
        </w:tc>
        <w:tc>
          <w:tcPr>
            <w:tcW w:w="9198" w:type="dxa"/>
            <w:vAlign w:val="top"/>
          </w:tcPr>
          <w:p>
            <w:pPr>
              <w:spacing w:line="240" w:lineRule="exact"/>
              <w:rPr>
                <w:b/>
                <w:color w:val="000000" w:themeColor="text1"/>
                <w:sz w:val="21"/>
                <w:szCs w:val="21"/>
                <w:highlight w:val="none"/>
              </w:rPr>
            </w:pPr>
            <w:r>
              <w:rPr>
                <w:rFonts w:hint="eastAsia"/>
                <w:b/>
                <w:color w:val="000000" w:themeColor="text1"/>
                <w:sz w:val="21"/>
                <w:szCs w:val="21"/>
                <w:highlight w:val="none"/>
              </w:rPr>
              <w:t xml:space="preserve">6.  </w:t>
            </w:r>
            <w:r>
              <w:rPr>
                <w:b/>
                <w:color w:val="000000" w:themeColor="text1"/>
                <w:sz w:val="21"/>
                <w:szCs w:val="21"/>
                <w:highlight w:val="none"/>
              </w:rPr>
              <w:t>EMS</w:t>
            </w:r>
            <w:r>
              <w:rPr>
                <w:rFonts w:hint="eastAsia"/>
                <w:b/>
                <w:color w:val="000000" w:themeColor="text1"/>
                <w:sz w:val="21"/>
                <w:szCs w:val="21"/>
                <w:highlight w:val="none"/>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kern w:val="2"/>
                <w:sz w:val="21"/>
                <w:szCs w:val="21"/>
                <w:highlight w:val="none"/>
                <w:lang w:val="en-US" w:eastAsia="zh-CN" w:bidi="ar-SA"/>
              </w:rPr>
            </w:pPr>
            <w:r>
              <w:rPr>
                <w:rFonts w:hint="eastAsia"/>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b/>
                <w:color w:val="000000" w:themeColor="text1"/>
                <w:sz w:val="21"/>
                <w:szCs w:val="21"/>
                <w:highlight w:val="none"/>
              </w:rPr>
            </w:pPr>
            <w:r>
              <w:rPr>
                <w:rFonts w:hint="eastAsia"/>
                <w:b/>
                <w:color w:val="000000" w:themeColor="text1"/>
                <w:sz w:val="21"/>
                <w:szCs w:val="21"/>
                <w:highlight w:val="none"/>
              </w:rPr>
              <w:t>7. OHSMS是否按规定对职业健康安全项目进行定期测量，结果是否满足相关要求：</w:t>
            </w:r>
          </w:p>
          <w:p>
            <w:pPr>
              <w:spacing w:line="240" w:lineRule="exact"/>
              <w:rPr>
                <w:rFonts w:ascii="Times New Roman" w:hAnsi="Times New Roman" w:eastAsia="宋体" w:cs="Times New Roman"/>
                <w:b/>
                <w:color w:val="000000" w:themeColor="text1"/>
                <w:kern w:val="2"/>
                <w:sz w:val="21"/>
                <w:szCs w:val="21"/>
                <w:highlight w:val="none"/>
                <w:lang w:val="en-US" w:eastAsia="zh-CN" w:bidi="ar-SA"/>
              </w:rPr>
            </w:pPr>
            <w:r>
              <w:rPr>
                <w:rFonts w:hint="eastAsia"/>
                <w:sz w:val="21"/>
                <w:szCs w:val="21"/>
                <w:highlight w:val="none"/>
              </w:rPr>
              <w:t>有检测，满足要求</w:t>
            </w:r>
          </w:p>
        </w:tc>
      </w:tr>
      <w:bookmark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Times New Roman" w:hAnsi="Times New Roman" w:eastAsia="宋体" w:cs="Times New Roman"/>
                <w:b/>
                <w:kern w:val="2"/>
                <w:sz w:val="20"/>
                <w:szCs w:val="20"/>
                <w:lang w:val="en-US" w:eastAsia="zh-CN" w:bidi="ar-SA"/>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20" w:type="dxa"/>
            <w:vMerge w:val="continue"/>
            <w:vAlign w:val="center"/>
          </w:tcPr>
          <w:p>
            <w:pPr>
              <w:spacing w:line="240" w:lineRule="exact"/>
              <w:jc w:val="center"/>
              <w:rPr>
                <w:b/>
                <w:sz w:val="21"/>
                <w:szCs w:val="21"/>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Times New Roman" w:hAnsi="Times New Roman" w:eastAsia="宋体" w:cs="Times New Roman"/>
                <w:b/>
                <w:kern w:val="2"/>
                <w:sz w:val="20"/>
                <w:szCs w:val="20"/>
                <w:lang w:val="en-US" w:eastAsia="zh-CN" w:bidi="ar-SA"/>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 w:val="21"/>
                <w:szCs w:val="21"/>
              </w:rPr>
            </w:pPr>
            <w:r>
              <w:rPr>
                <w:rFonts w:hint="eastAsia" w:ascii="宋体" w:hAnsi="宋体"/>
                <w:b/>
                <w:sz w:val="21"/>
                <w:szCs w:val="21"/>
              </w:rPr>
              <w:t>(五)持</w:t>
            </w:r>
          </w:p>
          <w:p>
            <w:pPr>
              <w:spacing w:line="240" w:lineRule="exact"/>
              <w:ind w:left="113" w:right="113"/>
              <w:jc w:val="center"/>
              <w:rPr>
                <w:rFonts w:ascii="宋体" w:hAnsi="宋体"/>
                <w:b/>
                <w:sz w:val="21"/>
                <w:szCs w:val="21"/>
              </w:rPr>
            </w:pPr>
            <w:r>
              <w:rPr>
                <w:rFonts w:hint="eastAsia" w:ascii="宋体" w:hAnsi="宋体"/>
                <w:b/>
                <w:sz w:val="21"/>
                <w:szCs w:val="21"/>
              </w:rPr>
              <w:t>续</w:t>
            </w:r>
          </w:p>
          <w:p>
            <w:pPr>
              <w:spacing w:line="240" w:lineRule="exact"/>
              <w:ind w:left="113" w:right="113"/>
              <w:jc w:val="center"/>
              <w:rPr>
                <w:rFonts w:ascii="宋体" w:hAnsi="宋体"/>
                <w:b/>
                <w:sz w:val="21"/>
                <w:szCs w:val="21"/>
              </w:rPr>
            </w:pPr>
            <w:r>
              <w:rPr>
                <w:rFonts w:hint="eastAsia" w:ascii="宋体" w:hAnsi="宋体"/>
                <w:b/>
                <w:sz w:val="21"/>
                <w:szCs w:val="21"/>
              </w:rPr>
              <w:t>改</w:t>
            </w:r>
          </w:p>
          <w:p>
            <w:pPr>
              <w:spacing w:line="240" w:lineRule="exact"/>
              <w:ind w:left="113" w:right="113"/>
              <w:jc w:val="center"/>
              <w:rPr>
                <w:b/>
                <w:sz w:val="21"/>
                <w:szCs w:val="21"/>
              </w:rPr>
            </w:pPr>
            <w:r>
              <w:rPr>
                <w:rFonts w:hint="eastAsia" w:ascii="宋体" w:hAnsi="宋体"/>
                <w:b/>
                <w:sz w:val="21"/>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rPr>
                <w:rFonts w:hint="eastAsia"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rPr>
              <w:br w:type="textWrapping"/>
            </w:r>
            <w:r>
              <w:rPr>
                <w:rFonts w:hint="eastAsia" w:ascii="宋体" w:hAnsi="宋体"/>
                <w:b/>
                <w:sz w:val="21"/>
                <w:szCs w:val="21"/>
                <w:lang w:eastAsia="zh-CN"/>
              </w:rPr>
              <w:t>上</w:t>
            </w:r>
            <w:r>
              <w:rPr>
                <w:rFonts w:hint="eastAsia"/>
                <w:b/>
                <w:szCs w:val="21"/>
              </w:rPr>
              <w:t>次</w:t>
            </w:r>
            <w:r>
              <w:rPr>
                <w:rFonts w:hint="eastAsia" w:ascii="宋体" w:hAnsi="宋体"/>
                <w:b/>
                <w:sz w:val="21"/>
                <w:szCs w:val="21"/>
              </w:rPr>
              <w:t>不符合为</w:t>
            </w:r>
            <w:r>
              <w:rPr>
                <w:rFonts w:hint="eastAsia" w:ascii="宋体" w:hAnsi="宋体"/>
                <w:b/>
                <w:sz w:val="21"/>
                <w:szCs w:val="21"/>
                <w:lang w:val="en-US" w:eastAsia="zh-CN"/>
              </w:rPr>
              <w:t>生产技术部Q</w:t>
            </w:r>
            <w:r>
              <w:rPr>
                <w:rFonts w:hint="eastAsia" w:ascii="宋体" w:hAnsi="宋体"/>
                <w:b/>
                <w:sz w:val="22"/>
                <w:szCs w:val="22"/>
              </w:rPr>
              <w:t>8.5.1</w:t>
            </w:r>
            <w:r>
              <w:rPr>
                <w:rFonts w:hint="eastAsia" w:ascii="宋体" w:hAnsi="宋体"/>
                <w:b/>
                <w:sz w:val="22"/>
                <w:szCs w:val="22"/>
                <w:lang w:val="en-US" w:eastAsia="zh-CN"/>
              </w:rPr>
              <w:t>条款，</w:t>
            </w:r>
            <w:r>
              <w:rPr>
                <w:rFonts w:hint="eastAsia" w:ascii="宋体" w:hAnsi="宋体"/>
                <w:b/>
                <w:sz w:val="21"/>
                <w:szCs w:val="21"/>
              </w:rPr>
              <w:t>经本次审核验证均整改且无类似不符合情况出现</w:t>
            </w:r>
            <w:r>
              <w:rPr>
                <w:rFonts w:hint="eastAsia" w:ascii="宋体" w:hAnsi="宋体"/>
                <w:b/>
                <w:sz w:val="21"/>
                <w:szCs w:val="21"/>
                <w:lang w:eastAsia="zh-CN"/>
              </w:rPr>
              <w:t>。</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sym w:font="Wingdings 2" w:char="0052"/>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highlight w:val="none"/>
        </w:rPr>
      </w:pPr>
      <w:r>
        <w:rPr>
          <w:rFonts w:hint="eastAsia"/>
          <w:b/>
          <w:sz w:val="26"/>
          <w:szCs w:val="26"/>
        </w:rPr>
        <w:t>八、本次审核不符合项</w:t>
      </w:r>
    </w:p>
    <w:p>
      <w:pPr>
        <w:spacing w:line="400" w:lineRule="exact"/>
        <w:ind w:left="420" w:leftChars="175" w:firstLine="101" w:firstLineChars="42"/>
        <w:rPr>
          <w:rFonts w:ascii="宋体" w:hAnsi="宋体"/>
          <w:b/>
          <w:szCs w:val="21"/>
          <w:highlight w:val="none"/>
        </w:rPr>
      </w:pPr>
      <w:r>
        <w:rPr>
          <w:rFonts w:hint="eastAsia" w:ascii="宋体" w:hAnsi="宋体"/>
          <w:b/>
          <w:szCs w:val="21"/>
          <w:highlight w:val="none"/>
        </w:rPr>
        <w:t>本次审核共开具不符合项报告</w:t>
      </w:r>
      <w:r>
        <w:rPr>
          <w:rFonts w:hint="eastAsia" w:ascii="宋体" w:hAnsi="宋体"/>
          <w:b/>
          <w:szCs w:val="21"/>
          <w:highlight w:val="none"/>
          <w:lang w:val="en-US" w:eastAsia="zh-CN"/>
        </w:rPr>
        <w:t>1</w:t>
      </w:r>
      <w:r>
        <w:rPr>
          <w:rFonts w:hint="eastAsia" w:ascii="宋体" w:hAnsi="宋体"/>
          <w:b/>
          <w:szCs w:val="21"/>
          <w:highlight w:val="none"/>
        </w:rPr>
        <w:t>项；其中</w:t>
      </w:r>
      <w:r>
        <w:rPr>
          <w:rFonts w:ascii="宋体" w:hAnsi="宋体"/>
          <w:b/>
          <w:szCs w:val="21"/>
          <w:highlight w:val="none"/>
        </w:rPr>
        <w:pict>
          <v:line id="直接连接符 1" o:spid="_x0000_s2055"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highlight w:val="none"/>
        </w:rPr>
        <w:t>严重不符合</w:t>
      </w:r>
      <w:r>
        <w:rPr>
          <w:rFonts w:hint="eastAsia" w:ascii="宋体" w:hAnsi="宋体"/>
          <w:b/>
          <w:szCs w:val="21"/>
          <w:highlight w:val="none"/>
          <w:lang w:val="en-US" w:eastAsia="zh-CN"/>
        </w:rPr>
        <w:t>0</w:t>
      </w:r>
      <w:r>
        <w:rPr>
          <w:rFonts w:hint="eastAsia" w:ascii="宋体" w:hAnsi="宋体"/>
          <w:b/>
          <w:szCs w:val="21"/>
          <w:highlight w:val="none"/>
        </w:rPr>
        <w:t>项，一般不符合</w:t>
      </w:r>
      <w:r>
        <w:rPr>
          <w:rFonts w:hint="eastAsia" w:ascii="宋体" w:hAnsi="宋体"/>
          <w:b/>
          <w:szCs w:val="21"/>
          <w:highlight w:val="none"/>
          <w:lang w:val="en-US" w:eastAsia="zh-CN"/>
        </w:rPr>
        <w:t>1</w:t>
      </w:r>
      <w:r>
        <w:rPr>
          <w:rFonts w:hint="eastAsia" w:ascii="宋体" w:hAnsi="宋体"/>
          <w:b/>
          <w:szCs w:val="21"/>
          <w:highlight w:val="none"/>
        </w:rPr>
        <w:t>项，观察项</w:t>
      </w:r>
      <w:r>
        <w:rPr>
          <w:rFonts w:hint="eastAsia" w:ascii="宋体" w:hAnsi="宋体"/>
          <w:b/>
          <w:szCs w:val="21"/>
          <w:highlight w:val="none"/>
          <w:lang w:val="en-US" w:eastAsia="zh-CN"/>
        </w:rPr>
        <w:t>0</w:t>
      </w:r>
      <w:r>
        <w:rPr>
          <w:rFonts w:hint="eastAsia" w:ascii="宋体" w:hAnsi="宋体"/>
          <w:b/>
          <w:szCs w:val="21"/>
          <w:highlight w:val="none"/>
        </w:rPr>
        <w:t>项分布在</w:t>
      </w:r>
      <w:r>
        <w:rPr>
          <w:rFonts w:hint="eastAsia" w:ascii="宋体" w:hAnsi="宋体"/>
          <w:b/>
          <w:szCs w:val="21"/>
          <w:highlight w:val="none"/>
          <w:lang w:val="en-US" w:eastAsia="zh-CN"/>
        </w:rPr>
        <w:t>综合部</w:t>
      </w:r>
      <w:r>
        <w:rPr>
          <w:rFonts w:hint="eastAsia" w:ascii="宋体" w:hAnsi="宋体"/>
          <w:b/>
          <w:szCs w:val="21"/>
          <w:highlight w:val="none"/>
        </w:rPr>
        <w:t>部门</w:t>
      </w:r>
      <w:r>
        <w:rPr>
          <w:rFonts w:hint="eastAsia" w:ascii="宋体" w:hAnsi="宋体"/>
          <w:b/>
          <w:szCs w:val="21"/>
          <w:highlight w:val="none"/>
          <w:lang w:val="en-US" w:eastAsia="zh-CN"/>
        </w:rPr>
        <w:t>ES9.1.2</w:t>
      </w:r>
      <w:r>
        <w:rPr>
          <w:rFonts w:hint="eastAsia" w:ascii="宋体" w:hAnsi="宋体"/>
          <w:b/>
          <w:szCs w:val="21"/>
          <w:highlight w:val="none"/>
        </w:rPr>
        <w:t>条款，见不符合项分布表。（</w:t>
      </w:r>
      <w:r>
        <w:rPr>
          <w:rFonts w:ascii="宋体" w:hAnsi="宋体"/>
          <w:b/>
          <w:szCs w:val="21"/>
          <w:highlight w:val="none"/>
        </w:rPr>
        <w:t>Q/J/E/S</w:t>
      </w:r>
      <w:r>
        <w:rPr>
          <w:rFonts w:hint="eastAsia" w:ascii="宋体" w:hAnsi="宋体"/>
          <w:b/>
          <w:szCs w:val="21"/>
          <w:highlight w:val="none"/>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8"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lang w:val="en-US" w:eastAsia="zh-CN"/>
        </w:rPr>
        <w:t>60</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b/>
          <w:bCs/>
          <w:sz w:val="21"/>
          <w:szCs w:val="28"/>
          <w:highlight w:val="none"/>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tabs>
          <w:tab w:val="left" w:pos="645"/>
        </w:tabs>
        <w:spacing w:after="163" w:afterLines="50" w:line="360" w:lineRule="exact"/>
        <w:rPr>
          <w:b/>
          <w:sz w:val="16"/>
          <w:szCs w:val="16"/>
          <w:highlight w:val="none"/>
        </w:rPr>
      </w:pPr>
      <w:r>
        <w:rPr>
          <w:rFonts w:hint="eastAsia" w:ascii="宋体" w:hAnsi="宋体" w:eastAsia="宋体" w:cs="Times New Roman"/>
          <w:kern w:val="2"/>
          <w:sz w:val="21"/>
          <w:szCs w:val="22"/>
          <w:highlight w:val="none"/>
          <w:lang w:val="en-US" w:eastAsia="zh-CN" w:bidi="ar-SA"/>
        </w:rPr>
        <w:drawing>
          <wp:anchor distT="0" distB="0" distL="114300" distR="114300" simplePos="0" relativeHeight="251661312" behindDoc="0" locked="0" layoutInCell="1" allowOverlap="1">
            <wp:simplePos x="0" y="0"/>
            <wp:positionH relativeFrom="column">
              <wp:posOffset>1786890</wp:posOffset>
            </wp:positionH>
            <wp:positionV relativeFrom="paragraph">
              <wp:posOffset>237490</wp:posOffset>
            </wp:positionV>
            <wp:extent cx="411480" cy="381000"/>
            <wp:effectExtent l="0" t="0" r="7620" b="0"/>
            <wp:wrapNone/>
            <wp:docPr id="3"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r>
        <w:rPr>
          <w:rFonts w:hint="eastAsia"/>
          <w:b/>
          <w:sz w:val="26"/>
          <w:szCs w:val="26"/>
          <w:highlight w:val="none"/>
        </w:rPr>
        <w:t>十二、审核组签字</w:t>
      </w:r>
    </w:p>
    <w:p>
      <w:pPr>
        <w:snapToGrid w:val="0"/>
        <w:spacing w:line="320" w:lineRule="exact"/>
        <w:ind w:firstLine="527" w:firstLineChars="250"/>
        <w:rPr>
          <w:b/>
          <w:sz w:val="21"/>
          <w:highlight w:val="none"/>
        </w:rPr>
      </w:pPr>
      <w:r>
        <w:rPr>
          <w:rFonts w:hint="eastAsia"/>
          <w:b/>
          <w:sz w:val="21"/>
          <w:highlight w:val="none"/>
        </w:rPr>
        <w:t>审核组组长（签名）：</w:t>
      </w:r>
    </w:p>
    <w:p>
      <w:pPr>
        <w:snapToGrid w:val="0"/>
        <w:spacing w:before="163" w:beforeLines="50" w:line="320" w:lineRule="exact"/>
        <w:ind w:firstLine="600" w:firstLineChars="250"/>
        <w:rPr>
          <w:b/>
          <w:sz w:val="21"/>
          <w:highlight w:val="none"/>
        </w:rPr>
      </w:pPr>
      <w:r>
        <w:rPr>
          <w:sz w:val="24"/>
          <w:highlight w:val="none"/>
        </w:rPr>
        <w:drawing>
          <wp:anchor distT="0" distB="0" distL="114300" distR="114300" simplePos="0" relativeHeight="251662336" behindDoc="0" locked="0" layoutInCell="1" allowOverlap="1">
            <wp:simplePos x="0" y="0"/>
            <wp:positionH relativeFrom="column">
              <wp:posOffset>2235835</wp:posOffset>
            </wp:positionH>
            <wp:positionV relativeFrom="paragraph">
              <wp:posOffset>28575</wp:posOffset>
            </wp:positionV>
            <wp:extent cx="690880" cy="499110"/>
            <wp:effectExtent l="0" t="0" r="7620" b="8890"/>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7"/>
                    <a:stretch>
                      <a:fillRect/>
                    </a:stretch>
                  </pic:blipFill>
                  <pic:spPr>
                    <a:xfrm>
                      <a:off x="0" y="0"/>
                      <a:ext cx="690880" cy="499110"/>
                    </a:xfrm>
                    <a:prstGeom prst="rect">
                      <a:avLst/>
                    </a:prstGeom>
                    <a:noFill/>
                    <a:ln>
                      <a:noFill/>
                    </a:ln>
                  </pic:spPr>
                </pic:pic>
              </a:graphicData>
            </a:graphic>
          </wp:anchor>
        </w:drawing>
      </w:r>
      <w:r>
        <w:rPr>
          <w:rFonts w:hint="eastAsia"/>
          <w:b/>
          <w:sz w:val="22"/>
          <w:szCs w:val="22"/>
          <w:highlight w:val="none"/>
        </w:rPr>
        <w:drawing>
          <wp:anchor distT="0" distB="0" distL="114300" distR="114300" simplePos="0" relativeHeight="251660288" behindDoc="0" locked="0" layoutInCell="1" allowOverlap="1">
            <wp:simplePos x="0" y="0"/>
            <wp:positionH relativeFrom="column">
              <wp:posOffset>1731645</wp:posOffset>
            </wp:positionH>
            <wp:positionV relativeFrom="paragraph">
              <wp:posOffset>93345</wp:posOffset>
            </wp:positionV>
            <wp:extent cx="466090" cy="353060"/>
            <wp:effectExtent l="0" t="0" r="3810" b="2540"/>
            <wp:wrapNone/>
            <wp:docPr id="2"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strator\Desktop\签名.jpg"/>
                    <pic:cNvPicPr>
                      <a:picLocks noChangeAspect="1"/>
                    </pic:cNvPicPr>
                  </pic:nvPicPr>
                  <pic:blipFill>
                    <a:blip r:embed="rId8"/>
                    <a:stretch>
                      <a:fillRect/>
                    </a:stretch>
                  </pic:blipFill>
                  <pic:spPr>
                    <a:xfrm>
                      <a:off x="0" y="0"/>
                      <a:ext cx="466090" cy="353060"/>
                    </a:xfrm>
                    <a:prstGeom prst="rect">
                      <a:avLst/>
                    </a:prstGeom>
                    <a:noFill/>
                    <a:ln>
                      <a:noFill/>
                    </a:ln>
                  </pic:spPr>
                </pic:pic>
              </a:graphicData>
            </a:graphic>
          </wp:anchor>
        </w:drawing>
      </w:r>
      <w:r>
        <w:rPr>
          <w:rFonts w:hint="eastAsia"/>
          <w:b/>
          <w:sz w:val="21"/>
          <w:highlight w:val="none"/>
        </w:rPr>
        <w:t>审核组组员（签名）：</w:t>
      </w:r>
    </w:p>
    <w:p>
      <w:pPr>
        <w:snapToGrid w:val="0"/>
        <w:spacing w:line="280" w:lineRule="exact"/>
        <w:ind w:firstLine="6325" w:firstLineChars="3000"/>
        <w:rPr>
          <w:b/>
          <w:sz w:val="21"/>
          <w:highlight w:val="none"/>
        </w:rPr>
      </w:pPr>
      <w:r>
        <w:rPr>
          <w:rFonts w:hint="eastAsia"/>
          <w:b/>
          <w:sz w:val="21"/>
          <w:highlight w:val="none"/>
        </w:rPr>
        <w:t>日期：</w:t>
      </w:r>
      <w:r>
        <w:rPr>
          <w:rFonts w:hint="eastAsia"/>
          <w:color w:val="000000"/>
          <w:szCs w:val="21"/>
          <w:highlight w:val="none"/>
        </w:rPr>
        <w:t>2021年05月07日</w:t>
      </w:r>
    </w:p>
    <w:p>
      <w:pPr>
        <w:snapToGrid w:val="0"/>
        <w:spacing w:line="200" w:lineRule="exact"/>
        <w:ind w:firstLine="482" w:firstLineChars="300"/>
        <w:rPr>
          <w:b/>
          <w:sz w:val="16"/>
          <w:szCs w:val="16"/>
          <w:highlight w:val="none"/>
        </w:rPr>
      </w:pPr>
    </w:p>
    <w:p>
      <w:pPr>
        <w:tabs>
          <w:tab w:val="left" w:pos="645"/>
        </w:tabs>
        <w:spacing w:after="163" w:afterLines="50" w:line="360" w:lineRule="exact"/>
        <w:rPr>
          <w:b/>
          <w:bCs/>
          <w:sz w:val="16"/>
          <w:szCs w:val="16"/>
          <w:highlight w:val="none"/>
        </w:rPr>
      </w:pPr>
      <w:r>
        <w:rPr>
          <w:rFonts w:hint="eastAsia"/>
          <w:b/>
          <w:sz w:val="26"/>
          <w:szCs w:val="26"/>
          <w:highlight w:val="none"/>
        </w:rPr>
        <w:t>十三、纠正措施验证及结论</w:t>
      </w:r>
      <w:r>
        <w:rPr>
          <w:rFonts w:hint="eastAsia"/>
          <w:b/>
          <w:bCs/>
          <w:sz w:val="16"/>
          <w:szCs w:val="16"/>
          <w:highlight w:val="none"/>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rPr>
        <w:t>□</w:t>
      </w:r>
      <w:r>
        <w:rPr>
          <w:b/>
          <w:sz w:val="21"/>
          <w:szCs w:val="21"/>
          <w:highlight w:val="none"/>
        </w:rPr>
        <w:t>QMS ()</w:t>
      </w:r>
      <w:r>
        <w:rPr>
          <w:rFonts w:hint="eastAsia"/>
          <w:b/>
          <w:sz w:val="21"/>
          <w:szCs w:val="21"/>
          <w:highlight w:val="none"/>
        </w:rPr>
        <w:t>个一般不符合，</w:t>
      </w:r>
      <w:r>
        <w:rPr>
          <w:b/>
          <w:sz w:val="21"/>
          <w:szCs w:val="21"/>
          <w:highlight w:val="none"/>
        </w:rPr>
        <w:t>()</w:t>
      </w:r>
      <w:r>
        <w:rPr>
          <w:rFonts w:hint="eastAsia"/>
          <w:b/>
          <w:sz w:val="21"/>
          <w:szCs w:val="21"/>
          <w:highlight w:val="none"/>
        </w:rPr>
        <w:t>个严重不符合，□验证合格□仍有问题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sym w:font="Wingdings 2" w:char="0052"/>
      </w:r>
      <w:r>
        <w:rPr>
          <w:b/>
          <w:sz w:val="21"/>
          <w:szCs w:val="21"/>
          <w:highlight w:val="none"/>
        </w:rPr>
        <w:t>EMS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0 </w:t>
      </w:r>
      <w:r>
        <w:rPr>
          <w:b/>
          <w:sz w:val="21"/>
          <w:szCs w:val="21"/>
          <w:highlight w:val="none"/>
        </w:rPr>
        <w:t xml:space="preserve"> )</w:t>
      </w:r>
      <w:r>
        <w:rPr>
          <w:rFonts w:hint="eastAsia"/>
          <w:b/>
          <w:sz w:val="21"/>
          <w:szCs w:val="21"/>
          <w:highlight w:val="none"/>
        </w:rPr>
        <w:t>个严重不符合，</w:t>
      </w:r>
      <w:r>
        <w:rPr>
          <w:rFonts w:hint="eastAsia"/>
          <w:b/>
          <w:sz w:val="21"/>
          <w:szCs w:val="21"/>
          <w:highlight w:val="none"/>
        </w:rPr>
        <w:sym w:font="Wingdings 2" w:char="0052"/>
      </w:r>
      <w:r>
        <w:rPr>
          <w:rFonts w:hint="eastAsia"/>
          <w:b/>
          <w:sz w:val="21"/>
          <w:szCs w:val="21"/>
          <w:highlight w:val="none"/>
        </w:rPr>
        <w:t>验证合格□仍有问题</w:t>
      </w:r>
    </w:p>
    <w:p>
      <w:pPr>
        <w:spacing w:line="360" w:lineRule="exact"/>
        <w:ind w:firstLine="843" w:firstLineChars="400"/>
        <w:rPr>
          <w:b/>
          <w:sz w:val="21"/>
          <w:szCs w:val="21"/>
        </w:rPr>
      </w:pPr>
      <w:r>
        <w:rPr>
          <w:rFonts w:hint="eastAsia"/>
          <w:b/>
          <w:bCs/>
          <w:sz w:val="21"/>
          <w:szCs w:val="21"/>
          <w:highlight w:val="none"/>
        </w:rPr>
        <w:t>审核中发现的</w:t>
      </w:r>
      <w:r>
        <w:rPr>
          <w:rFonts w:hint="eastAsia"/>
          <w:b/>
          <w:sz w:val="21"/>
          <w:szCs w:val="21"/>
          <w:highlight w:val="none"/>
        </w:rPr>
        <w:sym w:font="Wingdings 2" w:char="0052"/>
      </w:r>
      <w:r>
        <w:rPr>
          <w:b/>
          <w:sz w:val="21"/>
          <w:szCs w:val="21"/>
          <w:highlight w:val="none"/>
        </w:rPr>
        <w:t xml:space="preserve">OHSMS ( </w:t>
      </w:r>
      <w:r>
        <w:rPr>
          <w:rFonts w:hint="eastAsia"/>
          <w:b/>
          <w:sz w:val="21"/>
          <w:szCs w:val="21"/>
          <w:highlight w:val="none"/>
          <w:lang w:val="en-US" w:eastAsia="zh-CN"/>
        </w:rPr>
        <w:t>1</w:t>
      </w:r>
      <w:r>
        <w:rPr>
          <w:b/>
          <w:sz w:val="21"/>
          <w:szCs w:val="21"/>
          <w:highlight w:val="none"/>
        </w:rPr>
        <w:t xml:space="preserve">  )</w:t>
      </w:r>
      <w:r>
        <w:rPr>
          <w:rFonts w:hint="eastAsia"/>
          <w:b/>
          <w:sz w:val="21"/>
          <w:szCs w:val="21"/>
          <w:highlight w:val="none"/>
        </w:rPr>
        <w:t>个一般不符合，</w:t>
      </w:r>
      <w:r>
        <w:rPr>
          <w:b/>
          <w:sz w:val="21"/>
          <w:szCs w:val="21"/>
          <w:highlight w:val="none"/>
        </w:rPr>
        <w:t xml:space="preserve">( </w:t>
      </w:r>
      <w:r>
        <w:rPr>
          <w:rFonts w:hint="eastAsia"/>
          <w:b/>
          <w:sz w:val="21"/>
          <w:szCs w:val="21"/>
          <w:highlight w:val="none"/>
          <w:lang w:val="en-US" w:eastAsia="zh-CN"/>
        </w:rPr>
        <w:t>0</w:t>
      </w:r>
      <w:r>
        <w:rPr>
          <w:b/>
          <w:sz w:val="21"/>
          <w:szCs w:val="21"/>
          <w:highlight w:val="none"/>
        </w:rPr>
        <w:t xml:space="preserve">  )</w:t>
      </w:r>
      <w:r>
        <w:rPr>
          <w:rFonts w:hint="eastAsia"/>
          <w:b/>
          <w:sz w:val="21"/>
          <w:szCs w:val="21"/>
          <w:highlight w:val="none"/>
        </w:rPr>
        <w:t>个严重不符合，</w:t>
      </w:r>
      <w:r>
        <w:rPr>
          <w:rFonts w:hint="eastAsia"/>
          <w:b/>
          <w:sz w:val="21"/>
          <w:szCs w:val="21"/>
          <w:highlight w:val="none"/>
        </w:rPr>
        <w:sym w:font="Wingdings 2" w:char="0052"/>
      </w:r>
      <w:r>
        <w:rPr>
          <w:rFonts w:hint="eastAsia"/>
          <w:b/>
          <w:sz w:val="21"/>
          <w:szCs w:val="21"/>
          <w:highlight w:val="none"/>
        </w:rPr>
        <w:t>验证合格□仍有问题</w:t>
      </w:r>
      <w:r>
        <w:rPr>
          <w:rFonts w:hint="eastAsia"/>
          <w:b/>
          <w:bCs/>
          <w:sz w:val="21"/>
          <w:szCs w:val="21"/>
          <w:highlight w:val="none"/>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0" w:firstLineChars="343"/>
        <w:rPr>
          <w:b/>
          <w:sz w:val="21"/>
          <w:szCs w:val="21"/>
          <w:u w:val="single"/>
        </w:rPr>
      </w:pP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1233805</wp:posOffset>
            </wp:positionH>
            <wp:positionV relativeFrom="paragraph">
              <wp:posOffset>14605</wp:posOffset>
            </wp:positionV>
            <wp:extent cx="356235" cy="329565"/>
            <wp:effectExtent l="0" t="0" r="12065" b="635"/>
            <wp:wrapNone/>
            <wp:docPr id="4"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45e69cce4380e02713697e955d1ffd9"/>
                    <pic:cNvPicPr>
                      <a:picLocks noChangeAspect="1"/>
                    </pic:cNvPicPr>
                  </pic:nvPicPr>
                  <pic:blipFill>
                    <a:blip r:embed="rId6"/>
                    <a:stretch>
                      <a:fillRect/>
                    </a:stretch>
                  </pic:blipFill>
                  <pic:spPr>
                    <a:xfrm>
                      <a:off x="0" y="0"/>
                      <a:ext cx="356235" cy="329565"/>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11CB4"/>
    <w:multiLevelType w:val="singleLevel"/>
    <w:tmpl w:val="9EF11CB4"/>
    <w:lvl w:ilvl="0" w:tentative="0">
      <w:start w:val="3"/>
      <w:numFmt w:val="decimal"/>
      <w:suff w:val="space"/>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EA792A"/>
    <w:rsid w:val="0F985642"/>
    <w:rsid w:val="336B41EE"/>
    <w:rsid w:val="41C21EA2"/>
    <w:rsid w:val="48D862F0"/>
    <w:rsid w:val="555B0A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2021-05-07T07:17:51Z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268628375B2341318B275224C9D8D321</vt:lpwstr>
  </property>
</Properties>
</file>