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广安市中策资源综合利用有限公司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0398-2021-Q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潘海平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15282652919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</w:rPr>
              <w:t>潘海平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特殊钢、刀具的加工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17.01.00;17.11.01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2021年05月03日 上午至2021年05月03日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17.01.00,17.11.01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2021年5月2日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2021年5月2日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年5月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FF0000"/>
                <w:sz w:val="20"/>
              </w:rPr>
            </w:pP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color w:val="FF0000"/>
                <w:sz w:val="20"/>
              </w:rPr>
              <w:t>：30-1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FF0000"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FF0000"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通过对受审核方的管理、经营现场视频巡视和观察，从总体上初步判断受审核方的实际情况（包括实际的产品或服务类别、部门设置、资源状况等）与成文信息的一致性，为第二阶段审核的准备情况。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对管理体系绩效要求有重大影响的过程、活动、场所和运行进行视频观察、巡视及总体性评价，初步确认与成文件息的一致性。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销售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color w:val="FF0000"/>
                <w:sz w:val="20"/>
              </w:rPr>
              <w:t>1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FF0000"/>
                <w:sz w:val="20"/>
              </w:rPr>
              <w:t>：30-1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color w:val="FF0000"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  <w:bookmarkStart w:id="14" w:name="_GoBack"/>
      <w:bookmarkEnd w:id="14"/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D87D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2021-05-07T07:52:28Z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A3264DE05FBD47CFB3EBD7EB0B4BB936</vt:lpwstr>
  </property>
</Properties>
</file>