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3"/>
        <w:gridCol w:w="1470"/>
        <w:gridCol w:w="1127"/>
        <w:gridCol w:w="1505"/>
        <w:gridCol w:w="1608"/>
        <w:gridCol w:w="14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四川弘毅兴物业管理有限公司</w:t>
            </w:r>
            <w:bookmarkEnd w:id="4"/>
          </w:p>
        </w:tc>
        <w:tc>
          <w:tcPr>
            <w:tcW w:w="160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bookmarkStart w:id="5" w:name="专业代码"/>
            <w:r>
              <w:rPr>
                <w:sz w:val="20"/>
                <w:szCs w:val="22"/>
              </w:rPr>
              <w:t>E：35.16.01;35.16.03;39.02.01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szCs w:val="22"/>
              </w:rPr>
              <w:t>O：35.16.01;35.16.03;39.02.01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毛彦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E：35.16.01;35.16.03;39.02.01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szCs w:val="22"/>
              </w:rPr>
              <w:t>O：35.16.01;35.16.03;39.02.01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E：35.16.01;35.16.03;39.02.01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szCs w:val="22"/>
              </w:rPr>
              <w:t>O：35.16.01;35.16.03;39.02.01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E:35.16.01,35.16.03,39.02.01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</w:t>
            </w:r>
            <w:r>
              <w:rPr>
                <w:rFonts w:hint="eastAsia"/>
                <w:sz w:val="21"/>
                <w:szCs w:val="21"/>
              </w:rPr>
              <w:t>运服务流程：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项目投标策划和获得管理合同——业主交接垃圾桶点位——垃圾清运——业主考核——跟踪改进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清扫保洁服务流程：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项目投标策划和获得管理合同——交接道路段面——道路清扫保洁服务——检查——整改——复检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方案策划、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实施过程，依据标准和作业指导书控制。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固废排放、扬尘排放、噪声排放、潜在火灾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通过管理方案和应急预案进行控制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触电、交通意外、扬尘吸入、潜在火灾</w:t>
            </w:r>
            <w:r>
              <w:rPr>
                <w:rFonts w:hint="eastAsia"/>
                <w:sz w:val="21"/>
                <w:szCs w:val="21"/>
              </w:rPr>
              <w:t>，通过管理方案和应急预案进行控制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城市生活垃圾分类及其评价标准(附条文说明)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102-2004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生活垃圾分类标志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19095-2008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生活垃圾综合处理与资源利用技术要求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25180-2010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生活垃圾转运站技术规范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GJJ 47-2006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126-2008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城市水域保洁作业及质量标准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174-2013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bookmarkStart w:id="6" w:name="_GoBack"/>
      <w:bookmarkEnd w:id="6"/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7B0278"/>
    <w:rsid w:val="1A187347"/>
    <w:rsid w:val="21D3266D"/>
    <w:rsid w:val="565B4BDC"/>
    <w:rsid w:val="713D2587"/>
    <w:rsid w:val="7E0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2019-10-29T02:40:23Z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